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1EB51916" wp14:textId="77777777">
      <w:pPr>
        <w:spacing w:before="0" w:after="120"/>
        <w:jc w:val="center"/>
      </w:pPr>
      <w:r w:rsidRPr="4CBB5BEB" w:rsidR="4CBB5BEB">
        <w:rPr>
          <w:rFonts w:ascii="Arial" w:hAnsi="Arial" w:eastAsia="Arial" w:cs="Arial"/>
          <w:b w:val="1"/>
          <w:bCs w:val="1"/>
          <w:color w:val="1F3864"/>
          <w:sz w:val="34"/>
          <w:szCs w:val="34"/>
          <w:lang w:val="en-US"/>
        </w:rPr>
        <w:t>OncoFood</w:t>
      </w:r>
      <w:r w:rsidRPr="4CBB5BEB" w:rsidR="4CBB5BEB">
        <w:rPr>
          <w:rFonts w:ascii="Arial" w:hAnsi="Arial" w:eastAsia="Arial" w:cs="Arial"/>
          <w:b w:val="1"/>
          <w:bCs w:val="1"/>
          <w:color w:val="1F3864"/>
          <w:sz w:val="34"/>
          <w:szCs w:val="34"/>
          <w:lang w:val="en-US"/>
        </w:rPr>
        <w:t>-ML: A Robust, Interpretable Framework for</w:t>
      </w:r>
    </w:p>
    <w:p xmlns:wp14="http://schemas.microsoft.com/office/word/2010/wordml" w14:paraId="2CF8F68D" wp14:textId="77777777">
      <w:pPr>
        <w:spacing w:before="0" w:after="200"/>
        <w:jc w:val="center"/>
      </w:pPr>
      <w:r>
        <w:rPr>
          <w:rFonts w:ascii="Arial" w:hAnsi="Arial" w:eastAsia="Arial" w:cs="Arial"/>
          <w:b/>
          <w:bCs/>
          <w:color w:val="1F3864"/>
          <w:sz w:val="34"/>
          <w:szCs w:val="34"/>
        </w:rPr>
        <w:t xml:space="preserve">Predicting Food Effects on Anticancer Drug Exposure</w:t>
      </w:r>
    </w:p>
    <w:p xmlns:wp14="http://schemas.microsoft.com/office/word/2010/wordml" w14:paraId="3B3BF699" wp14:textId="77777777">
      <w:pPr>
        <w:spacing w:before="0" w:after="80"/>
        <w:jc w:val="center"/>
      </w:pPr>
      <w:r>
        <w:rPr>
          <w:rFonts w:ascii="Arial" w:hAnsi="Arial" w:eastAsia="Arial" w:cs="Arial"/>
          <w:b/>
          <w:bCs/>
          <w:sz w:val="22"/>
          <w:szCs w:val="22"/>
        </w:rPr>
        <w:t xml:space="preserve">Alen Agnel Chettiar, Arshith, Lakshya B, Shetty Shravya Vittal</w:t>
      </w:r>
    </w:p>
    <w:p xmlns:wp14="http://schemas.microsoft.com/office/word/2010/wordml" w14:paraId="758442AF" wp14:textId="77777777">
      <w:pPr>
        <w:spacing w:before="0" w:after="360"/>
        <w:jc w:val="center"/>
      </w:pPr>
      <w:r>
        <w:rPr>
          <w:rFonts w:ascii="Arial" w:hAnsi="Arial" w:eastAsia="Arial" w:cs="Arial"/>
          <w:i/>
          <w:iCs/>
          <w:color w:val="555555"/>
          <w:sz w:val="20"/>
          <w:szCs w:val="20"/>
        </w:rPr>
        <w:t xml:space="preserve">Department of Artificial Intelligence and Data Science</w:t>
      </w:r>
    </w:p>
    <w:p xmlns:wp14="http://schemas.microsoft.com/office/word/2010/wordml" w14:paraId="672A6659" wp14:textId="77777777">
      <w:pPr>
        <w:pBdr>
          <w:bottom w:val="single" w:color="CCCCCC" w:sz="4" w:space="1"/>
        </w:pBdr>
        <w:spacing w:before="80" w:after="80"/>
      </w:pPr>
    </w:p>
    <w:p xmlns:wp14="http://schemas.microsoft.com/office/word/2010/wordml" w14:paraId="7CBFD60A" wp14:textId="77777777">
      <w:pPr>
        <w:pStyle w:val="Heading1"/>
        <w:spacing w:before="360" w:after="180"/>
      </w:pPr>
      <w:r>
        <w:rPr>
          <w:rFonts w:ascii="Arial" w:hAnsi="Arial" w:eastAsia="Arial" w:cs="Arial"/>
          <w:b/>
          <w:bCs/>
          <w:color w:val="1F3864"/>
          <w:sz w:val="28"/>
          <w:szCs w:val="28"/>
        </w:rPr>
        <w:t xml:space="preserve">Abstract</w:t>
      </w:r>
    </w:p>
    <w:p xmlns:wp14="http://schemas.microsoft.com/office/word/2010/wordml" w14:paraId="38A5AB70" wp14:textId="77777777">
      <w:pPr>
        <w:spacing w:before="120" w:after="120"/>
        <w:jc w:val="both"/>
      </w:pPr>
      <w:r w:rsidRPr="4CBB5BEB" w:rsidR="4CBB5BEB">
        <w:rPr>
          <w:rFonts w:ascii="Arial" w:hAnsi="Arial" w:eastAsia="Arial" w:cs="Arial"/>
          <w:sz w:val="22"/>
          <w:szCs w:val="22"/>
          <w:lang w:val="en-US"/>
        </w:rPr>
        <w:t>Drug–food interactions (DFIs) represent a clinically significant but systematically under-</w:t>
      </w:r>
      <w:r w:rsidRPr="4CBB5BEB" w:rsidR="4CBB5BEB">
        <w:rPr>
          <w:rFonts w:ascii="Arial" w:hAnsi="Arial" w:eastAsia="Arial" w:cs="Arial"/>
          <w:sz w:val="22"/>
          <w:szCs w:val="22"/>
          <w:lang w:val="en-US"/>
        </w:rPr>
        <w:t>characterised</w:t>
      </w:r>
      <w:r w:rsidRPr="4CBB5BEB" w:rsidR="4CBB5BEB">
        <w:rPr>
          <w:rFonts w:ascii="Arial" w:hAnsi="Arial" w:eastAsia="Arial" w:cs="Arial"/>
          <w:sz w:val="22"/>
          <w:szCs w:val="22"/>
          <w:lang w:val="en-US"/>
        </w:rPr>
        <w:t xml:space="preserve"> risk in oncology pharmacotherapy. This paper presents </w:t>
      </w:r>
      <w:r w:rsidRPr="4CBB5BEB" w:rsidR="4CBB5BEB">
        <w:rPr>
          <w:rFonts w:ascii="Arial" w:hAnsi="Arial" w:eastAsia="Arial" w:cs="Arial"/>
          <w:b w:val="1"/>
          <w:bCs w:val="1"/>
          <w:sz w:val="22"/>
          <w:szCs w:val="22"/>
          <w:lang w:val="en-US"/>
        </w:rPr>
        <w:t>OncoFood</w:t>
      </w:r>
      <w:r w:rsidRPr="4CBB5BEB" w:rsidR="4CBB5BEB">
        <w:rPr>
          <w:rFonts w:ascii="Arial" w:hAnsi="Arial" w:eastAsia="Arial" w:cs="Arial"/>
          <w:b w:val="1"/>
          <w:bCs w:val="1"/>
          <w:sz w:val="22"/>
          <w:szCs w:val="22"/>
          <w:lang w:val="en-US"/>
        </w:rPr>
        <w:t>-ML</w:t>
      </w:r>
      <w:r w:rsidRPr="4CBB5BEB" w:rsidR="4CBB5BEB">
        <w:rPr>
          <w:rFonts w:ascii="Arial" w:hAnsi="Arial" w:eastAsia="Arial" w:cs="Arial"/>
          <w:sz w:val="22"/>
          <w:szCs w:val="22"/>
          <w:lang w:val="en-US"/>
        </w:rPr>
        <w:t xml:space="preserve">, an end-to-end machine learning pipeline that predicts the </w:t>
      </w:r>
      <w:r w:rsidRPr="4CBB5BEB" w:rsidR="4CBB5BEB">
        <w:rPr>
          <w:rFonts w:ascii="Arial" w:hAnsi="Arial" w:eastAsia="Arial" w:cs="Arial"/>
          <w:sz w:val="22"/>
          <w:szCs w:val="22"/>
          <w:lang w:val="en-US"/>
        </w:rPr>
        <w:t>interaction</w:t>
      </w:r>
      <w:r w:rsidRPr="4CBB5BEB" w:rsidR="4CBB5BEB">
        <w:rPr>
          <w:rFonts w:ascii="Arial" w:hAnsi="Arial" w:eastAsia="Arial" w:cs="Arial"/>
          <w:sz w:val="22"/>
          <w:szCs w:val="22"/>
          <w:lang w:val="en-US"/>
        </w:rPr>
        <w:t xml:space="preserve"> severity—Neutral, Moderate, or Critical—between FDA-approved anticancer agents and common dietary components. The system ingests real-world drug label data from the </w:t>
      </w:r>
      <w:r w:rsidRPr="4CBB5BEB" w:rsidR="4CBB5BEB">
        <w:rPr>
          <w:rFonts w:ascii="Arial" w:hAnsi="Arial" w:eastAsia="Arial" w:cs="Arial"/>
          <w:sz w:val="22"/>
          <w:szCs w:val="22"/>
          <w:lang w:val="en-US"/>
        </w:rPr>
        <w:t>OpenFDA</w:t>
      </w:r>
      <w:r w:rsidRPr="4CBB5BEB" w:rsidR="4CBB5BEB">
        <w:rPr>
          <w:rFonts w:ascii="Arial" w:hAnsi="Arial" w:eastAsia="Arial" w:cs="Arial"/>
          <w:sz w:val="22"/>
          <w:szCs w:val="22"/>
          <w:lang w:val="en-US"/>
        </w:rPr>
        <w:t xml:space="preserve"> API, retrieves verified Isomeric SMILES from PubChem, and engineers a rich 532-dimensional feature space </w:t>
      </w:r>
      <w:r w:rsidRPr="4CBB5BEB" w:rsidR="4CBB5BEB">
        <w:rPr>
          <w:rFonts w:ascii="Arial" w:hAnsi="Arial" w:eastAsia="Arial" w:cs="Arial"/>
          <w:sz w:val="22"/>
          <w:szCs w:val="22"/>
          <w:lang w:val="en-US"/>
        </w:rPr>
        <w:t>comprising</w:t>
      </w:r>
      <w:r w:rsidRPr="4CBB5BEB" w:rsidR="4CBB5BEB">
        <w:rPr>
          <w:rFonts w:ascii="Arial" w:hAnsi="Arial" w:eastAsia="Arial" w:cs="Arial"/>
          <w:sz w:val="22"/>
          <w:szCs w:val="22"/>
          <w:lang w:val="en-US"/>
        </w:rPr>
        <w:t xml:space="preserve"> 256-bit Morgan fingerprints for both drug and food molecules, Lipinski physicochemical descriptors, Tanimoto structural similarity, and drug-level pharmacovigilance keyword counts. A Soft-Voting Ensemble combining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RandomForest</w:t>
      </w:r>
      <w:r w:rsidRPr="4CBB5BEB" w:rsidR="4CBB5BEB">
        <w:rPr>
          <w:rFonts w:ascii="Arial" w:hAnsi="Arial" w:eastAsia="Arial" w:cs="Arial"/>
          <w:sz w:val="22"/>
          <w:szCs w:val="22"/>
          <w:lang w:val="en-US"/>
        </w:rPr>
        <w:t xml:space="preserve">, and </w:t>
      </w:r>
      <w:r w:rsidRPr="4CBB5BEB" w:rsidR="4CBB5BEB">
        <w:rPr>
          <w:rFonts w:ascii="Arial" w:hAnsi="Arial" w:eastAsia="Arial" w:cs="Arial"/>
          <w:sz w:val="22"/>
          <w:szCs w:val="22"/>
          <w:lang w:val="en-US"/>
        </w:rPr>
        <w:t>GradientBoosting</w:t>
      </w:r>
      <w:r w:rsidRPr="4CBB5BEB" w:rsidR="4CBB5BEB">
        <w:rPr>
          <w:rFonts w:ascii="Arial" w:hAnsi="Arial" w:eastAsia="Arial" w:cs="Arial"/>
          <w:sz w:val="22"/>
          <w:szCs w:val="22"/>
          <w:lang w:val="en-US"/>
        </w:rPr>
        <w:t xml:space="preserve"> achieves a validation accuracy of </w:t>
      </w:r>
      <w:r w:rsidRPr="4CBB5BEB" w:rsidR="4CBB5BEB">
        <w:rPr>
          <w:rFonts w:ascii="Arial" w:hAnsi="Arial" w:eastAsia="Arial" w:cs="Arial"/>
          <w:b w:val="1"/>
          <w:bCs w:val="1"/>
          <w:sz w:val="22"/>
          <w:szCs w:val="22"/>
          <w:lang w:val="en-US"/>
        </w:rPr>
        <w:t>80.3%</w:t>
      </w:r>
      <w:r w:rsidRPr="4CBB5BEB" w:rsidR="4CBB5BEB">
        <w:rPr>
          <w:rFonts w:ascii="Arial" w:hAnsi="Arial" w:eastAsia="Arial" w:cs="Arial"/>
          <w:sz w:val="22"/>
          <w:szCs w:val="22"/>
          <w:lang w:val="en-US"/>
        </w:rPr>
        <w:t xml:space="preserve"> and a leave-one-drug-out (LODO) unseen accuracy of </w:t>
      </w:r>
      <w:r w:rsidRPr="4CBB5BEB" w:rsidR="4CBB5BEB">
        <w:rPr>
          <w:rFonts w:ascii="Arial" w:hAnsi="Arial" w:eastAsia="Arial" w:cs="Arial"/>
          <w:b w:val="1"/>
          <w:bCs w:val="1"/>
          <w:sz w:val="22"/>
          <w:szCs w:val="22"/>
          <w:lang w:val="en-US"/>
        </w:rPr>
        <w:t>86.9%</w:t>
      </w:r>
      <w:r w:rsidRPr="4CBB5BEB" w:rsidR="4CBB5BEB">
        <w:rPr>
          <w:rFonts w:ascii="Arial" w:hAnsi="Arial" w:eastAsia="Arial" w:cs="Arial"/>
          <w:sz w:val="22"/>
          <w:szCs w:val="22"/>
          <w:lang w:val="en-US"/>
        </w:rPr>
        <w:t xml:space="preserve">. Model transparency is </w:t>
      </w:r>
      <w:r w:rsidRPr="4CBB5BEB" w:rsidR="4CBB5BEB">
        <w:rPr>
          <w:rFonts w:ascii="Arial" w:hAnsi="Arial" w:eastAsia="Arial" w:cs="Arial"/>
          <w:sz w:val="22"/>
          <w:szCs w:val="22"/>
          <w:lang w:val="en-US"/>
        </w:rPr>
        <w:t>established</w:t>
      </w:r>
      <w:r w:rsidRPr="4CBB5BEB" w:rsidR="4CBB5BEB">
        <w:rPr>
          <w:rFonts w:ascii="Arial" w:hAnsi="Arial" w:eastAsia="Arial" w:cs="Arial"/>
          <w:sz w:val="22"/>
          <w:szCs w:val="22"/>
          <w:lang w:val="en-US"/>
        </w:rPr>
        <w:t xml:space="preserve"> via SHAP (</w:t>
      </w:r>
      <w:r w:rsidRPr="4CBB5BEB" w:rsidR="4CBB5BEB">
        <w:rPr>
          <w:rFonts w:ascii="Arial" w:hAnsi="Arial" w:eastAsia="Arial" w:cs="Arial"/>
          <w:sz w:val="22"/>
          <w:szCs w:val="22"/>
          <w:lang w:val="en-US"/>
        </w:rPr>
        <w:t>SHapley</w:t>
      </w:r>
      <w:r w:rsidRPr="4CBB5BEB" w:rsidR="4CBB5BEB">
        <w:rPr>
          <w:rFonts w:ascii="Arial" w:hAnsi="Arial" w:eastAsia="Arial" w:cs="Arial"/>
          <w:sz w:val="22"/>
          <w:szCs w:val="22"/>
          <w:lang w:val="en-US"/>
        </w:rPr>
        <w:t xml:space="preserve"> Additive </w:t>
      </w:r>
      <w:r w:rsidRPr="4CBB5BEB" w:rsidR="4CBB5BEB">
        <w:rPr>
          <w:rFonts w:ascii="Arial" w:hAnsi="Arial" w:eastAsia="Arial" w:cs="Arial"/>
          <w:sz w:val="22"/>
          <w:szCs w:val="22"/>
          <w:lang w:val="en-US"/>
        </w:rPr>
        <w:t>exPlanations</w:t>
      </w:r>
      <w:r w:rsidRPr="4CBB5BEB" w:rsidR="4CBB5BEB">
        <w:rPr>
          <w:rFonts w:ascii="Arial" w:hAnsi="Arial" w:eastAsia="Arial" w:cs="Arial"/>
          <w:sz w:val="22"/>
          <w:szCs w:val="22"/>
          <w:lang w:val="en-US"/>
        </w:rPr>
        <w:t xml:space="preserve">) analysis, and predictions are delivered through a </w:t>
      </w:r>
      <w:r w:rsidRPr="4CBB5BEB" w:rsidR="4CBB5BEB">
        <w:rPr>
          <w:rFonts w:ascii="Arial" w:hAnsi="Arial" w:eastAsia="Arial" w:cs="Arial"/>
          <w:sz w:val="22"/>
          <w:szCs w:val="22"/>
          <w:lang w:val="en-US"/>
        </w:rPr>
        <w:t>Streamlit</w:t>
      </w:r>
      <w:r w:rsidRPr="4CBB5BEB" w:rsidR="4CBB5BEB">
        <w:rPr>
          <w:rFonts w:ascii="Arial" w:hAnsi="Arial" w:eastAsia="Arial" w:cs="Arial"/>
          <w:sz w:val="22"/>
          <w:szCs w:val="22"/>
          <w:lang w:val="en-US"/>
        </w:rPr>
        <w:t xml:space="preserve"> web interface supporting real-time clinical lookup.</w:t>
      </w:r>
    </w:p>
    <w:p xmlns:wp14="http://schemas.microsoft.com/office/word/2010/wordml" w14:paraId="6AD3368D" wp14:textId="77777777">
      <w:pPr>
        <w:spacing w:before="160" w:after="80"/>
      </w:pPr>
      <w:r w:rsidRPr="4CBB5BEB" w:rsidR="4CBB5BEB">
        <w:rPr>
          <w:rFonts w:ascii="Arial" w:hAnsi="Arial" w:eastAsia="Arial" w:cs="Arial"/>
          <w:b w:val="1"/>
          <w:bCs w:val="1"/>
          <w:sz w:val="22"/>
          <w:szCs w:val="22"/>
          <w:lang w:val="en-US"/>
        </w:rPr>
        <w:t xml:space="preserve">Index Terms — </w:t>
      </w:r>
      <w:r w:rsidRPr="4CBB5BEB" w:rsidR="4CBB5BEB">
        <w:rPr>
          <w:rFonts w:ascii="Arial" w:hAnsi="Arial" w:eastAsia="Arial" w:cs="Arial"/>
          <w:i w:val="1"/>
          <w:iCs w:val="1"/>
          <w:sz w:val="22"/>
          <w:szCs w:val="22"/>
          <w:lang w:val="en-US"/>
        </w:rPr>
        <w:t xml:space="preserve">drug–food interactions, oncology pharmacology, machine learning, Morgan fingerprints, </w:t>
      </w:r>
      <w:r w:rsidRPr="4CBB5BEB" w:rsidR="4CBB5BEB">
        <w:rPr>
          <w:rFonts w:ascii="Arial" w:hAnsi="Arial" w:eastAsia="Arial" w:cs="Arial"/>
          <w:i w:val="1"/>
          <w:iCs w:val="1"/>
          <w:sz w:val="22"/>
          <w:szCs w:val="22"/>
          <w:lang w:val="en-US"/>
        </w:rPr>
        <w:t>XGBoost</w:t>
      </w:r>
      <w:r w:rsidRPr="4CBB5BEB" w:rsidR="4CBB5BEB">
        <w:rPr>
          <w:rFonts w:ascii="Arial" w:hAnsi="Arial" w:eastAsia="Arial" w:cs="Arial"/>
          <w:i w:val="1"/>
          <w:iCs w:val="1"/>
          <w:sz w:val="22"/>
          <w:szCs w:val="22"/>
          <w:lang w:val="en-US"/>
        </w:rPr>
        <w:t xml:space="preserve">, explainable AI, SHAP, cheminformatics, </w:t>
      </w:r>
      <w:r w:rsidRPr="4CBB5BEB" w:rsidR="4CBB5BEB">
        <w:rPr>
          <w:rFonts w:ascii="Arial" w:hAnsi="Arial" w:eastAsia="Arial" w:cs="Arial"/>
          <w:i w:val="1"/>
          <w:iCs w:val="1"/>
          <w:sz w:val="22"/>
          <w:szCs w:val="22"/>
          <w:lang w:val="en-US"/>
        </w:rPr>
        <w:t>RDKit</w:t>
      </w:r>
      <w:r w:rsidRPr="4CBB5BEB" w:rsidR="4CBB5BEB">
        <w:rPr>
          <w:rFonts w:ascii="Arial" w:hAnsi="Arial" w:eastAsia="Arial" w:cs="Arial"/>
          <w:i w:val="1"/>
          <w:iCs w:val="1"/>
          <w:sz w:val="22"/>
          <w:szCs w:val="22"/>
          <w:lang w:val="en-US"/>
        </w:rPr>
        <w:t xml:space="preserve">, leave-one-drug-out validation, bioavailability, </w:t>
      </w:r>
      <w:r w:rsidRPr="4CBB5BEB" w:rsidR="4CBB5BEB">
        <w:rPr>
          <w:rFonts w:ascii="Arial" w:hAnsi="Arial" w:eastAsia="Arial" w:cs="Arial"/>
          <w:i w:val="1"/>
          <w:iCs w:val="1"/>
          <w:sz w:val="22"/>
          <w:szCs w:val="22"/>
          <w:lang w:val="en-US"/>
        </w:rPr>
        <w:t>Streamlit</w:t>
      </w:r>
    </w:p>
    <w:p xmlns:wp14="http://schemas.microsoft.com/office/word/2010/wordml" w14:paraId="0A37501D" wp14:textId="77777777">
      <w:pPr>
        <w:pBdr>
          <w:bottom w:val="single" w:color="CCCCCC" w:sz="4" w:space="1"/>
        </w:pBdr>
        <w:spacing w:before="80" w:after="80"/>
      </w:pPr>
    </w:p>
    <w:p xmlns:wp14="http://schemas.microsoft.com/office/word/2010/wordml" w14:paraId="199AE7C1" wp14:textId="77777777">
      <w:pPr>
        <w:pStyle w:val="Heading1"/>
        <w:spacing w:before="360" w:after="180"/>
      </w:pPr>
      <w:r>
        <w:rPr>
          <w:rFonts w:ascii="Arial" w:hAnsi="Arial" w:eastAsia="Arial" w:cs="Arial"/>
          <w:b/>
          <w:bCs/>
          <w:color w:val="1F3864"/>
          <w:sz w:val="28"/>
          <w:szCs w:val="28"/>
        </w:rPr>
        <w:t xml:space="preserve">I. Introduction</w:t>
      </w:r>
    </w:p>
    <w:p xmlns:wp14="http://schemas.microsoft.com/office/word/2010/wordml" w14:paraId="4F71C3B8" wp14:textId="77777777">
      <w:pPr>
        <w:spacing w:before="120" w:after="120"/>
        <w:jc w:val="both"/>
      </w:pPr>
      <w:r w:rsidRPr="4CBB5BEB" w:rsidR="4CBB5BEB">
        <w:rPr>
          <w:rFonts w:ascii="Arial" w:hAnsi="Arial" w:eastAsia="Arial" w:cs="Arial"/>
          <w:sz w:val="22"/>
          <w:szCs w:val="22"/>
          <w:lang w:val="en-US"/>
        </w:rPr>
        <w:t xml:space="preserve">Oncology pharmacotherapy presents one of the most complex challenges in modern clinical medicine. Cancer patients are typically prescribed polypharmacy regimens, often alongside dietary </w:t>
      </w:r>
      <w:r w:rsidRPr="4CBB5BEB" w:rsidR="4CBB5BEB">
        <w:rPr>
          <w:rFonts w:ascii="Arial" w:hAnsi="Arial" w:eastAsia="Arial" w:cs="Arial"/>
          <w:sz w:val="22"/>
          <w:szCs w:val="22"/>
          <w:lang w:val="en-US"/>
        </w:rPr>
        <w:t>modifications</w:t>
      </w:r>
      <w:r w:rsidRPr="4CBB5BEB" w:rsidR="4CBB5BEB">
        <w:rPr>
          <w:rFonts w:ascii="Arial" w:hAnsi="Arial" w:eastAsia="Arial" w:cs="Arial"/>
          <w:sz w:val="22"/>
          <w:szCs w:val="22"/>
          <w:lang w:val="en-US"/>
        </w:rPr>
        <w:t xml:space="preserve"> or supplement use, creating fertile conditions for pharmacokinetic disruption. Drug–food interactions (DFIs) alter drug absorption, distribution, metabolism, and excretion (ADME) through mechanisms ranging from direct physicochemical binding—as seen when grapefruit furanocoumarins irreversibly inhibit cytochrome P450 3A4—to modulation of intestinal transport proteins such as P-glycoprotein [</w:t>
      </w:r>
      <w:r w:rsidRPr="4CBB5BEB" w:rsidR="4CBB5BEB">
        <w:rPr>
          <w:rFonts w:ascii="Arial" w:hAnsi="Arial" w:eastAsia="Arial" w:cs="Arial"/>
          <w:sz w:val="18"/>
          <w:szCs w:val="18"/>
          <w:vertAlign w:val="superscript"/>
          <w:lang w:val="en-US"/>
        </w:rPr>
        <w:t>1</w:t>
      </w:r>
      <w:r w:rsidRPr="4CBB5BEB" w:rsidR="4CBB5BEB">
        <w:rPr>
          <w:rFonts w:ascii="Arial" w:hAnsi="Arial" w:eastAsia="Arial" w:cs="Arial"/>
          <w:sz w:val="22"/>
          <w:szCs w:val="22"/>
          <w:lang w:val="en-US"/>
        </w:rPr>
        <w:t xml:space="preserve">]. In oncological contexts, where narrow therapeutic indices and dose-dependent toxicities prevail, even moderate bioavailability shifts can precipitate either sub-therapeutic exposure or life-threatening toxicity. Despite this, systematic DFI awareness among patients, caregivers, and non-specialist providers </w:t>
      </w:r>
      <w:r w:rsidRPr="4CBB5BEB" w:rsidR="4CBB5BEB">
        <w:rPr>
          <w:rFonts w:ascii="Arial" w:hAnsi="Arial" w:eastAsia="Arial" w:cs="Arial"/>
          <w:sz w:val="22"/>
          <w:szCs w:val="22"/>
          <w:lang w:val="en-US"/>
        </w:rPr>
        <w:t>remains</w:t>
      </w:r>
      <w:r w:rsidRPr="4CBB5BEB" w:rsidR="4CBB5BEB">
        <w:rPr>
          <w:rFonts w:ascii="Arial" w:hAnsi="Arial" w:eastAsia="Arial" w:cs="Arial"/>
          <w:sz w:val="22"/>
          <w:szCs w:val="22"/>
          <w:lang w:val="en-US"/>
        </w:rPr>
        <w:t xml:space="preserve"> alarmingly limited [</w:t>
      </w:r>
      <w:r w:rsidRPr="4CBB5BEB" w:rsidR="4CBB5BEB">
        <w:rPr>
          <w:rFonts w:ascii="Arial" w:hAnsi="Arial" w:eastAsia="Arial" w:cs="Arial"/>
          <w:sz w:val="18"/>
          <w:szCs w:val="18"/>
          <w:vertAlign w:val="superscript"/>
          <w:lang w:val="en-US"/>
        </w:rPr>
        <w:t>2</w:t>
      </w:r>
      <w:r w:rsidRPr="4CBB5BEB" w:rsidR="4CBB5BEB">
        <w:rPr>
          <w:rFonts w:ascii="Arial" w:hAnsi="Arial" w:eastAsia="Arial" w:cs="Arial"/>
          <w:sz w:val="22"/>
          <w:szCs w:val="22"/>
          <w:lang w:val="en-US"/>
        </w:rPr>
        <w:t>].</w:t>
      </w:r>
    </w:p>
    <w:p xmlns:wp14="http://schemas.microsoft.com/office/word/2010/wordml" w14:paraId="689F4E5A" wp14:textId="77777777">
      <w:pPr>
        <w:spacing w:before="120" w:after="120"/>
        <w:jc w:val="both"/>
      </w:pPr>
      <w:r w:rsidRPr="4CBB5BEB" w:rsidR="4CBB5BEB">
        <w:rPr>
          <w:rFonts w:ascii="Arial" w:hAnsi="Arial" w:eastAsia="Arial" w:cs="Arial"/>
          <w:sz w:val="22"/>
          <w:szCs w:val="22"/>
          <w:lang w:val="en-US"/>
        </w:rPr>
        <w:t xml:space="preserve">Traditional drug interaction screening tools rely </w:t>
      </w:r>
      <w:r w:rsidRPr="4CBB5BEB" w:rsidR="4CBB5BEB">
        <w:rPr>
          <w:rFonts w:ascii="Arial" w:hAnsi="Arial" w:eastAsia="Arial" w:cs="Arial"/>
          <w:sz w:val="22"/>
          <w:szCs w:val="22"/>
          <w:lang w:val="en-US"/>
        </w:rPr>
        <w:t>predominantly on</w:t>
      </w:r>
      <w:r w:rsidRPr="4CBB5BEB" w:rsidR="4CBB5BEB">
        <w:rPr>
          <w:rFonts w:ascii="Arial" w:hAnsi="Arial" w:eastAsia="Arial" w:cs="Arial"/>
          <w:sz w:val="22"/>
          <w:szCs w:val="22"/>
          <w:lang w:val="en-US"/>
        </w:rPr>
        <w:t xml:space="preserve"> rule-based expert systems and manually curated databases such as </w:t>
      </w:r>
      <w:r w:rsidRPr="4CBB5BEB" w:rsidR="4CBB5BEB">
        <w:rPr>
          <w:rFonts w:ascii="Arial" w:hAnsi="Arial" w:eastAsia="Arial" w:cs="Arial"/>
          <w:sz w:val="22"/>
          <w:szCs w:val="22"/>
          <w:lang w:val="en-US"/>
        </w:rPr>
        <w:t>DrugBank</w:t>
      </w:r>
      <w:r w:rsidRPr="4CBB5BEB" w:rsidR="4CBB5BEB">
        <w:rPr>
          <w:rFonts w:ascii="Arial" w:hAnsi="Arial" w:eastAsia="Arial" w:cs="Arial"/>
          <w:sz w:val="22"/>
          <w:szCs w:val="22"/>
          <w:lang w:val="en-US"/>
        </w:rPr>
        <w:t xml:space="preserve"> and KEGG. While authoritative, these resources are inherently static, require extensive expert curation, and lack the capacity to </w:t>
      </w:r>
      <w:r w:rsidRPr="4CBB5BEB" w:rsidR="4CBB5BEB">
        <w:rPr>
          <w:rFonts w:ascii="Arial" w:hAnsi="Arial" w:eastAsia="Arial" w:cs="Arial"/>
          <w:sz w:val="22"/>
          <w:szCs w:val="22"/>
          <w:lang w:val="en-US"/>
        </w:rPr>
        <w:t>generalise</w:t>
      </w:r>
      <w:r w:rsidRPr="4CBB5BEB" w:rsidR="4CBB5BEB">
        <w:rPr>
          <w:rFonts w:ascii="Arial" w:hAnsi="Arial" w:eastAsia="Arial" w:cs="Arial"/>
          <w:sz w:val="22"/>
          <w:szCs w:val="22"/>
          <w:lang w:val="en-US"/>
        </w:rPr>
        <w:t xml:space="preserve"> to novel drug-food combinations or extrapolate pharmacological reasoning from chemical structure alone [</w:t>
      </w:r>
      <w:r w:rsidRPr="4CBB5BEB" w:rsidR="4CBB5BEB">
        <w:rPr>
          <w:rFonts w:ascii="Arial" w:hAnsi="Arial" w:eastAsia="Arial" w:cs="Arial"/>
          <w:sz w:val="18"/>
          <w:szCs w:val="18"/>
          <w:vertAlign w:val="superscript"/>
          <w:lang w:val="en-US"/>
        </w:rPr>
        <w:t>3</w:t>
      </w:r>
      <w:r w:rsidRPr="4CBB5BEB" w:rsidR="4CBB5BEB">
        <w:rPr>
          <w:rFonts w:ascii="Arial" w:hAnsi="Arial" w:eastAsia="Arial" w:cs="Arial"/>
          <w:sz w:val="22"/>
          <w:szCs w:val="22"/>
          <w:lang w:val="en-US"/>
        </w:rPr>
        <w:t xml:space="preserve">]. Moreover, the food </w:t>
      </w:r>
      <w:r w:rsidRPr="4CBB5BEB" w:rsidR="4CBB5BEB">
        <w:rPr>
          <w:rFonts w:ascii="Arial" w:hAnsi="Arial" w:eastAsia="Arial" w:cs="Arial"/>
          <w:sz w:val="22"/>
          <w:szCs w:val="22"/>
          <w:lang w:val="en-US"/>
        </w:rPr>
        <w:t>component</w:t>
      </w:r>
      <w:r w:rsidRPr="4CBB5BEB" w:rsidR="4CBB5BEB">
        <w:rPr>
          <w:rFonts w:ascii="Arial" w:hAnsi="Arial" w:eastAsia="Arial" w:cs="Arial"/>
          <w:sz w:val="22"/>
          <w:szCs w:val="22"/>
          <w:lang w:val="en-US"/>
        </w:rPr>
        <w:t xml:space="preserve"> of interaction data is </w:t>
      </w:r>
      <w:r w:rsidRPr="4CBB5BEB" w:rsidR="4CBB5BEB">
        <w:rPr>
          <w:rFonts w:ascii="Arial" w:hAnsi="Arial" w:eastAsia="Arial" w:cs="Arial"/>
          <w:sz w:val="22"/>
          <w:szCs w:val="22"/>
          <w:lang w:val="en-US"/>
        </w:rPr>
        <w:t>frequently</w:t>
      </w:r>
      <w:r w:rsidRPr="4CBB5BEB" w:rsidR="4CBB5BEB">
        <w:rPr>
          <w:rFonts w:ascii="Arial" w:hAnsi="Arial" w:eastAsia="Arial" w:cs="Arial"/>
          <w:sz w:val="22"/>
          <w:szCs w:val="22"/>
          <w:lang w:val="en-US"/>
        </w:rPr>
        <w:t xml:space="preserve"> absent or unstructured within official prescribing information, making automated extraction a non-trivial natural language processing challenge. The advent of large-scale cheminformatics resources—PubChem, </w:t>
      </w:r>
      <w:r w:rsidRPr="4CBB5BEB" w:rsidR="4CBB5BEB">
        <w:rPr>
          <w:rFonts w:ascii="Arial" w:hAnsi="Arial" w:eastAsia="Arial" w:cs="Arial"/>
          <w:sz w:val="22"/>
          <w:szCs w:val="22"/>
          <w:lang w:val="en-US"/>
        </w:rPr>
        <w:t>ChEMBL</w:t>
      </w:r>
      <w:r w:rsidRPr="4CBB5BEB" w:rsidR="4CBB5BEB">
        <w:rPr>
          <w:rFonts w:ascii="Arial" w:hAnsi="Arial" w:eastAsia="Arial" w:cs="Arial"/>
          <w:sz w:val="22"/>
          <w:szCs w:val="22"/>
          <w:lang w:val="en-US"/>
        </w:rPr>
        <w:t xml:space="preserve">—combined with machine learning methods </w:t>
      </w:r>
      <w:r w:rsidRPr="4CBB5BEB" w:rsidR="4CBB5BEB">
        <w:rPr>
          <w:rFonts w:ascii="Arial" w:hAnsi="Arial" w:eastAsia="Arial" w:cs="Arial"/>
          <w:sz w:val="22"/>
          <w:szCs w:val="22"/>
          <w:lang w:val="en-US"/>
        </w:rPr>
        <w:t>optimised</w:t>
      </w:r>
      <w:r w:rsidRPr="4CBB5BEB" w:rsidR="4CBB5BEB">
        <w:rPr>
          <w:rFonts w:ascii="Arial" w:hAnsi="Arial" w:eastAsia="Arial" w:cs="Arial"/>
          <w:sz w:val="22"/>
          <w:szCs w:val="22"/>
          <w:lang w:val="en-US"/>
        </w:rPr>
        <w:t xml:space="preserve"> for high-dimensional sparse feature representations offers a compelling alternative paradigm for scalable DFI risk stratification [</w:t>
      </w:r>
      <w:r w:rsidRPr="4CBB5BEB" w:rsidR="4CBB5BEB">
        <w:rPr>
          <w:rFonts w:ascii="Arial" w:hAnsi="Arial" w:eastAsia="Arial" w:cs="Arial"/>
          <w:sz w:val="18"/>
          <w:szCs w:val="18"/>
          <w:vertAlign w:val="superscript"/>
          <w:lang w:val="en-US"/>
        </w:rPr>
        <w:t>4</w:t>
      </w:r>
      <w:r w:rsidRPr="4CBB5BEB" w:rsidR="4CBB5BEB">
        <w:rPr>
          <w:rFonts w:ascii="Arial" w:hAnsi="Arial" w:eastAsia="Arial" w:cs="Arial"/>
          <w:sz w:val="22"/>
          <w:szCs w:val="22"/>
          <w:lang w:val="en-US"/>
        </w:rPr>
        <w:t>].</w:t>
      </w:r>
    </w:p>
    <w:p xmlns:wp14="http://schemas.microsoft.com/office/word/2010/wordml" w14:paraId="7596FFC5" wp14:textId="77777777">
      <w:pPr>
        <w:spacing w:before="120" w:after="120"/>
        <w:jc w:val="both"/>
      </w:pPr>
      <w:r w:rsidRPr="4CBB5BEB" w:rsidR="4CBB5BEB">
        <w:rPr>
          <w:rFonts w:ascii="Arial" w:hAnsi="Arial" w:eastAsia="Arial" w:cs="Arial"/>
          <w:sz w:val="22"/>
          <w:szCs w:val="22"/>
          <w:lang w:val="en-US"/>
        </w:rPr>
        <w:t xml:space="preserve">Machine learning applications in </w:t>
      </w:r>
      <w:r w:rsidRPr="4CBB5BEB" w:rsidR="4CBB5BEB">
        <w:rPr>
          <w:rFonts w:ascii="Arial" w:hAnsi="Arial" w:eastAsia="Arial" w:cs="Arial"/>
          <w:sz w:val="22"/>
          <w:szCs w:val="22"/>
          <w:lang w:val="en-US"/>
        </w:rPr>
        <w:t>pharmacoinformatics</w:t>
      </w:r>
      <w:r w:rsidRPr="4CBB5BEB" w:rsidR="4CBB5BEB">
        <w:rPr>
          <w:rFonts w:ascii="Arial" w:hAnsi="Arial" w:eastAsia="Arial" w:cs="Arial"/>
          <w:sz w:val="22"/>
          <w:szCs w:val="22"/>
          <w:lang w:val="en-US"/>
        </w:rPr>
        <w:t xml:space="preserve"> have </w:t>
      </w:r>
      <w:r w:rsidRPr="4CBB5BEB" w:rsidR="4CBB5BEB">
        <w:rPr>
          <w:rFonts w:ascii="Arial" w:hAnsi="Arial" w:eastAsia="Arial" w:cs="Arial"/>
          <w:sz w:val="22"/>
          <w:szCs w:val="22"/>
          <w:lang w:val="en-US"/>
        </w:rPr>
        <w:t>demonstrated</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strong performance</w:t>
      </w:r>
      <w:r w:rsidRPr="4CBB5BEB" w:rsidR="4CBB5BEB">
        <w:rPr>
          <w:rFonts w:ascii="Arial" w:hAnsi="Arial" w:eastAsia="Arial" w:cs="Arial"/>
          <w:sz w:val="22"/>
          <w:szCs w:val="22"/>
          <w:lang w:val="en-US"/>
        </w:rPr>
        <w:t xml:space="preserve"> across tasks including drug–drug interaction prediction, virtual screening, and ADMET property estimation [</w:t>
      </w:r>
      <w:r w:rsidRPr="4CBB5BEB" w:rsidR="4CBB5BEB">
        <w:rPr>
          <w:rFonts w:ascii="Arial" w:hAnsi="Arial" w:eastAsia="Arial" w:cs="Arial"/>
          <w:sz w:val="18"/>
          <w:szCs w:val="18"/>
          <w:vertAlign w:val="superscript"/>
          <w:lang w:val="en-US"/>
        </w:rPr>
        <w:t>5</w:t>
      </w:r>
      <w:r w:rsidRPr="4CBB5BEB" w:rsidR="4CBB5BEB">
        <w:rPr>
          <w:rFonts w:ascii="Arial" w:hAnsi="Arial" w:eastAsia="Arial" w:cs="Arial"/>
          <w:sz w:val="22"/>
          <w:szCs w:val="22"/>
          <w:lang w:val="en-US"/>
        </w:rPr>
        <w:t xml:space="preserve">]. Graph neural networks </w:t>
      </w:r>
      <w:r w:rsidRPr="4CBB5BEB" w:rsidR="4CBB5BEB">
        <w:rPr>
          <w:rFonts w:ascii="Arial" w:hAnsi="Arial" w:eastAsia="Arial" w:cs="Arial"/>
          <w:sz w:val="22"/>
          <w:szCs w:val="22"/>
          <w:lang w:val="en-US"/>
        </w:rPr>
        <w:t>operating</w:t>
      </w:r>
      <w:r w:rsidRPr="4CBB5BEB" w:rsidR="4CBB5BEB">
        <w:rPr>
          <w:rFonts w:ascii="Arial" w:hAnsi="Arial" w:eastAsia="Arial" w:cs="Arial"/>
          <w:sz w:val="22"/>
          <w:szCs w:val="22"/>
          <w:lang w:val="en-US"/>
        </w:rPr>
        <w:t xml:space="preserve"> on molecular graphs, gradient-boosted tree ensembles applied to fingerprint-encoded feature matrices, and transformer-based models fine-tuned on chemical language have all reported competitive benchmarks. However, the specific sub-problem of drug–food interaction prediction in oncology </w:t>
      </w:r>
      <w:r w:rsidRPr="4CBB5BEB" w:rsidR="4CBB5BEB">
        <w:rPr>
          <w:rFonts w:ascii="Arial" w:hAnsi="Arial" w:eastAsia="Arial" w:cs="Arial"/>
          <w:sz w:val="22"/>
          <w:szCs w:val="22"/>
          <w:lang w:val="en-US"/>
        </w:rPr>
        <w:t>remains</w:t>
      </w:r>
      <w:r w:rsidRPr="4CBB5BEB" w:rsidR="4CBB5BEB">
        <w:rPr>
          <w:rFonts w:ascii="Arial" w:hAnsi="Arial" w:eastAsia="Arial" w:cs="Arial"/>
          <w:sz w:val="22"/>
          <w:szCs w:val="22"/>
          <w:lang w:val="en-US"/>
        </w:rPr>
        <w:t xml:space="preserve"> sparsely addressed in the literature, with few publicly available labelled datasets and no widely adopted computational benchmark.</w:t>
      </w:r>
    </w:p>
    <w:p xmlns:wp14="http://schemas.microsoft.com/office/word/2010/wordml" w14:paraId="4F87659B" wp14:textId="77777777">
      <w:pPr>
        <w:spacing w:before="120" w:after="120"/>
        <w:jc w:val="both"/>
      </w:pPr>
      <w:r w:rsidRPr="4CBB5BEB" w:rsidR="4CBB5BEB">
        <w:rPr>
          <w:rFonts w:ascii="Arial" w:hAnsi="Arial" w:eastAsia="Arial" w:cs="Arial"/>
          <w:sz w:val="22"/>
          <w:szCs w:val="22"/>
          <w:lang w:val="en-US"/>
        </w:rPr>
        <w:t>This work addresses this gap with the following primary contributions: (</w:t>
      </w:r>
      <w:r w:rsidRPr="4CBB5BEB" w:rsidR="4CBB5BEB">
        <w:rPr>
          <w:rFonts w:ascii="Arial" w:hAnsi="Arial" w:eastAsia="Arial" w:cs="Arial"/>
          <w:sz w:val="22"/>
          <w:szCs w:val="22"/>
          <w:lang w:val="en-US"/>
        </w:rPr>
        <w:t>i</w:t>
      </w:r>
      <w:r w:rsidRPr="4CBB5BEB" w:rsidR="4CBB5BEB">
        <w:rPr>
          <w:rFonts w:ascii="Arial" w:hAnsi="Arial" w:eastAsia="Arial" w:cs="Arial"/>
          <w:sz w:val="22"/>
          <w:szCs w:val="22"/>
          <w:lang w:val="en-US"/>
        </w:rPr>
        <w:t xml:space="preserve">) construction of a real-world, FDA-grounded labelled dataset of 438 oncology drug–food interaction pairs spanning 19 food items and over 100 FDA-approved anticancer agents across 23 drug classes; (ii) a feature engineering pipeline leveraging </w:t>
      </w:r>
      <w:r w:rsidRPr="4CBB5BEB" w:rsidR="4CBB5BEB">
        <w:rPr>
          <w:rFonts w:ascii="Arial" w:hAnsi="Arial" w:eastAsia="Arial" w:cs="Arial"/>
          <w:sz w:val="22"/>
          <w:szCs w:val="22"/>
          <w:lang w:val="en-US"/>
        </w:rPr>
        <w:t>RDKit</w:t>
      </w:r>
      <w:r w:rsidRPr="4CBB5BEB" w:rsidR="4CBB5BEB">
        <w:rPr>
          <w:rFonts w:ascii="Arial" w:hAnsi="Arial" w:eastAsia="Arial" w:cs="Arial"/>
          <w:sz w:val="22"/>
          <w:szCs w:val="22"/>
          <w:lang w:val="en-US"/>
        </w:rPr>
        <w:t xml:space="preserve">-computed Morgan fingerprints (256-bit, radius-2), Lipinski Rule-of-Five descriptors, Tanimoto structural similarity, and live PubChem API property retrieval; (iii) a Soft-Voting Ensemble classifier achieving state-of-the-art LODO </w:t>
      </w:r>
      <w:r w:rsidRPr="4CBB5BEB" w:rsidR="4CBB5BEB">
        <w:rPr>
          <w:rFonts w:ascii="Arial" w:hAnsi="Arial" w:eastAsia="Arial" w:cs="Arial"/>
          <w:sz w:val="22"/>
          <w:szCs w:val="22"/>
          <w:lang w:val="en-US"/>
        </w:rPr>
        <w:t>generalisation</w:t>
      </w:r>
      <w:r w:rsidRPr="4CBB5BEB" w:rsidR="4CBB5BEB">
        <w:rPr>
          <w:rFonts w:ascii="Arial" w:hAnsi="Arial" w:eastAsia="Arial" w:cs="Arial"/>
          <w:sz w:val="22"/>
          <w:szCs w:val="22"/>
          <w:lang w:val="en-US"/>
        </w:rPr>
        <w:t xml:space="preserve"> at </w:t>
      </w:r>
      <w:r w:rsidRPr="4CBB5BEB" w:rsidR="4CBB5BEB">
        <w:rPr>
          <w:rFonts w:ascii="Arial" w:hAnsi="Arial" w:eastAsia="Arial" w:cs="Arial"/>
          <w:b w:val="1"/>
          <w:bCs w:val="1"/>
          <w:sz w:val="22"/>
          <w:szCs w:val="22"/>
          <w:lang w:val="en-US"/>
        </w:rPr>
        <w:t>86.9%</w:t>
      </w:r>
      <w:r w:rsidRPr="4CBB5BEB" w:rsidR="4CBB5BEB">
        <w:rPr>
          <w:rFonts w:ascii="Arial" w:hAnsi="Arial" w:eastAsia="Arial" w:cs="Arial"/>
          <w:sz w:val="22"/>
          <w:szCs w:val="22"/>
          <w:lang w:val="en-US"/>
        </w:rPr>
        <w:t xml:space="preserve"> accuracy and </w:t>
      </w:r>
      <w:r w:rsidRPr="4CBB5BEB" w:rsidR="4CBB5BEB">
        <w:rPr>
          <w:rFonts w:ascii="Arial" w:hAnsi="Arial" w:eastAsia="Arial" w:cs="Arial"/>
          <w:b w:val="1"/>
          <w:bCs w:val="1"/>
          <w:sz w:val="22"/>
          <w:szCs w:val="22"/>
          <w:lang w:val="en-US"/>
        </w:rPr>
        <w:t>0.9515</w:t>
      </w:r>
      <w:r w:rsidRPr="4CBB5BEB" w:rsidR="4CBB5BEB">
        <w:rPr>
          <w:rFonts w:ascii="Arial" w:hAnsi="Arial" w:eastAsia="Arial" w:cs="Arial"/>
          <w:sz w:val="22"/>
          <w:szCs w:val="22"/>
          <w:lang w:val="en-US"/>
        </w:rPr>
        <w:t xml:space="preserve"> ROC-AUC on structurally out-of-distribution drugs; (iv) SHAP-based global and local explanations identifying the molecular drivers of critical interaction risk; and (v) a deployed </w:t>
      </w:r>
      <w:r w:rsidRPr="4CBB5BEB" w:rsidR="4CBB5BEB">
        <w:rPr>
          <w:rFonts w:ascii="Arial" w:hAnsi="Arial" w:eastAsia="Arial" w:cs="Arial"/>
          <w:sz w:val="22"/>
          <w:szCs w:val="22"/>
          <w:lang w:val="en-US"/>
        </w:rPr>
        <w:t>Streamlit</w:t>
      </w:r>
      <w:r w:rsidRPr="4CBB5BEB" w:rsidR="4CBB5BEB">
        <w:rPr>
          <w:rFonts w:ascii="Arial" w:hAnsi="Arial" w:eastAsia="Arial" w:cs="Arial"/>
          <w:sz w:val="22"/>
          <w:szCs w:val="22"/>
          <w:lang w:val="en-US"/>
        </w:rPr>
        <w:t xml:space="preserve"> web application enabling real-time DFI lookup with </w:t>
      </w:r>
      <w:r w:rsidRPr="4CBB5BEB" w:rsidR="4CBB5BEB">
        <w:rPr>
          <w:rFonts w:ascii="Arial" w:hAnsi="Arial" w:eastAsia="Arial" w:cs="Arial"/>
          <w:sz w:val="22"/>
          <w:szCs w:val="22"/>
          <w:lang w:val="en-US"/>
        </w:rPr>
        <w:t>OpenFDA</w:t>
      </w:r>
      <w:r w:rsidRPr="4CBB5BEB" w:rsidR="4CBB5BEB">
        <w:rPr>
          <w:rFonts w:ascii="Arial" w:hAnsi="Arial" w:eastAsia="Arial" w:cs="Arial"/>
          <w:sz w:val="22"/>
          <w:szCs w:val="22"/>
          <w:lang w:val="en-US"/>
        </w:rPr>
        <w:t xml:space="preserve"> cross-validation.</w:t>
      </w:r>
    </w:p>
    <w:p xmlns:wp14="http://schemas.microsoft.com/office/word/2010/wordml" w14:paraId="0866D758" wp14:textId="77777777">
      <w:pPr>
        <w:spacing w:before="120" w:after="120"/>
        <w:jc w:val="both"/>
      </w:pPr>
      <w:r w:rsidRPr="4CBB5BEB" w:rsidR="4CBB5BEB">
        <w:rPr>
          <w:rFonts w:ascii="Arial" w:hAnsi="Arial" w:eastAsia="Arial" w:cs="Arial"/>
          <w:sz w:val="22"/>
          <w:szCs w:val="22"/>
          <w:lang w:val="en-US"/>
        </w:rPr>
        <w:t xml:space="preserve">The </w:t>
      </w:r>
      <w:r w:rsidRPr="4CBB5BEB" w:rsidR="4CBB5BEB">
        <w:rPr>
          <w:rFonts w:ascii="Arial" w:hAnsi="Arial" w:eastAsia="Arial" w:cs="Arial"/>
          <w:sz w:val="22"/>
          <w:szCs w:val="22"/>
          <w:lang w:val="en-US"/>
        </w:rPr>
        <w:t>remainder</w:t>
      </w:r>
      <w:r w:rsidRPr="4CBB5BEB" w:rsidR="4CBB5BEB">
        <w:rPr>
          <w:rFonts w:ascii="Arial" w:hAnsi="Arial" w:eastAsia="Arial" w:cs="Arial"/>
          <w:sz w:val="22"/>
          <w:szCs w:val="22"/>
          <w:lang w:val="en-US"/>
        </w:rPr>
        <w:t xml:space="preserve"> of this paper is structured as follows. Section II details the full </w:t>
      </w:r>
      <w:r w:rsidRPr="4CBB5BEB" w:rsidR="4CBB5BEB">
        <w:rPr>
          <w:rFonts w:ascii="Arial" w:hAnsi="Arial" w:eastAsia="Arial" w:cs="Arial"/>
          <w:sz w:val="22"/>
          <w:szCs w:val="22"/>
          <w:lang w:val="en-US"/>
        </w:rPr>
        <w:t>methodology</w:t>
      </w:r>
      <w:r w:rsidRPr="4CBB5BEB" w:rsidR="4CBB5BEB">
        <w:rPr>
          <w:rFonts w:ascii="Arial" w:hAnsi="Arial" w:eastAsia="Arial" w:cs="Arial"/>
          <w:sz w:val="22"/>
          <w:szCs w:val="22"/>
          <w:lang w:val="en-US"/>
        </w:rPr>
        <w:t xml:space="preserve"> including dataset construction, feature engineering, model architecture, and XAI integration. Section III presents a comprehensive quantitative evaluation across ten classifiers and interprets key </w:t>
      </w:r>
      <w:r w:rsidRPr="4CBB5BEB" w:rsidR="4CBB5BEB">
        <w:rPr>
          <w:rFonts w:ascii="Arial" w:hAnsi="Arial" w:eastAsia="Arial" w:cs="Arial"/>
          <w:sz w:val="22"/>
          <w:szCs w:val="22"/>
          <w:lang w:val="en-US"/>
        </w:rPr>
        <w:t>visualisation</w:t>
      </w:r>
      <w:r w:rsidRPr="4CBB5BEB" w:rsidR="4CBB5BEB">
        <w:rPr>
          <w:rFonts w:ascii="Arial" w:hAnsi="Arial" w:eastAsia="Arial" w:cs="Arial"/>
          <w:sz w:val="22"/>
          <w:szCs w:val="22"/>
          <w:lang w:val="en-US"/>
        </w:rPr>
        <w:t xml:space="preserve"> outputs. Section IV concludes with a discussion of limitations and future directions.</w:t>
      </w:r>
    </w:p>
    <w:p w:rsidR="4CBB5BEB" w:rsidP="038D2D71" w:rsidRDefault="4CBB5BEB" w14:paraId="71564735" w14:textId="75DF9B70">
      <w:pPr>
        <w:spacing w:before="200" w:after="80"/>
      </w:pPr>
      <w:r w:rsidRPr="038D2D71" w:rsidR="4CBB5BEB">
        <w:rPr>
          <w:rFonts w:ascii="Arial" w:hAnsi="Arial" w:eastAsia="Arial" w:cs="Arial"/>
          <w:b w:val="1"/>
          <w:bCs w:val="1"/>
          <w:sz w:val="22"/>
          <w:szCs w:val="22"/>
        </w:rPr>
        <w:t>Figure 1 — System Architecture Block Diagra</w:t>
      </w:r>
      <w:r w:rsidRPr="038D2D71" w:rsidR="7A13103F">
        <w:rPr>
          <w:rFonts w:ascii="Arial" w:hAnsi="Arial" w:eastAsia="Arial" w:cs="Arial"/>
          <w:b w:val="1"/>
          <w:bCs w:val="1"/>
          <w:sz w:val="22"/>
          <w:szCs w:val="22"/>
        </w:rPr>
        <w:t>m</w:t>
      </w:r>
      <w:r w:rsidR="4018BDA8">
        <w:drawing>
          <wp:inline wp14:editId="5A96D1B3" wp14:anchorId="541A6FD3">
            <wp:extent cx="5319782" cy="2924175"/>
            <wp:effectExtent l="0" t="0" r="0" b="0"/>
            <wp:docPr id="170179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790612" name="Picture 1701790612"/>
                    <pic:cNvPicPr/>
                  </pic:nvPicPr>
                  <pic:blipFill>
                    <a:blip xmlns:r="http://schemas.openxmlformats.org/officeDocument/2006/relationships" r:embed="rId2133845575">
                      <a:extLst>
                        <a:ext uri="{28A0092B-C50C-407E-A947-70E740481C1C}">
                          <a14:useLocalDpi xmlns:a14="http://schemas.microsoft.com/office/drawing/2010/main"/>
                        </a:ext>
                      </a:extLst>
                    </a:blip>
                    <a:stretch>
                      <a:fillRect/>
                    </a:stretch>
                  </pic:blipFill>
                  <pic:spPr>
                    <a:xfrm rot="0">
                      <a:off x="0" y="0"/>
                      <a:ext cx="5319782" cy="2924175"/>
                    </a:xfrm>
                    <a:prstGeom prst="rect">
                      <a:avLst/>
                    </a:prstGeom>
                  </pic:spPr>
                </pic:pic>
              </a:graphicData>
            </a:graphic>
          </wp:inline>
        </w:drawing>
      </w:r>
    </w:p>
    <w:p xmlns:wp14="http://schemas.microsoft.com/office/word/2010/wordml" w:rsidP="038D2D71" w14:paraId="4FB9784D" wp14:textId="2A7F59F8">
      <w:pPr>
        <w:spacing w:before="80" w:after="200"/>
        <w:jc w:val="center"/>
        <w:rPr>
          <w:rFonts w:ascii="Arial" w:hAnsi="Arial" w:eastAsia="Arial" w:cs="Arial"/>
          <w:i w:val="1"/>
          <w:iCs w:val="1"/>
          <w:color w:val="444444"/>
          <w:sz w:val="20"/>
          <w:szCs w:val="20"/>
          <w:lang w:val="en-US"/>
        </w:rPr>
      </w:pPr>
      <w:r w:rsidRPr="038D2D71" w:rsidR="4CBB5BEB">
        <w:rPr>
          <w:rFonts w:ascii="Arial" w:hAnsi="Arial" w:eastAsia="Arial" w:cs="Arial"/>
          <w:i w:val="1"/>
          <w:iCs w:val="1"/>
          <w:color w:val="444444"/>
          <w:sz w:val="20"/>
          <w:szCs w:val="20"/>
          <w:lang w:val="en-US"/>
        </w:rPr>
        <w:t xml:space="preserve">Fig. 1. </w:t>
      </w:r>
      <w:r w:rsidRPr="038D2D71" w:rsidR="4CBB5BEB">
        <w:rPr>
          <w:rFonts w:ascii="Arial" w:hAnsi="Arial" w:eastAsia="Arial" w:cs="Arial"/>
          <w:i w:val="1"/>
          <w:iCs w:val="1"/>
          <w:color w:val="444444"/>
          <w:sz w:val="20"/>
          <w:szCs w:val="20"/>
          <w:lang w:val="en-US"/>
        </w:rPr>
        <w:t>OncoFood</w:t>
      </w:r>
      <w:r w:rsidRPr="038D2D71" w:rsidR="4CBB5BEB">
        <w:rPr>
          <w:rFonts w:ascii="Arial" w:hAnsi="Arial" w:eastAsia="Arial" w:cs="Arial"/>
          <w:i w:val="1"/>
          <w:iCs w:val="1"/>
          <w:color w:val="444444"/>
          <w:sz w:val="20"/>
          <w:szCs w:val="20"/>
          <w:lang w:val="en-US"/>
        </w:rPr>
        <w:t xml:space="preserve">-ML system architecture. </w:t>
      </w:r>
    </w:p>
    <w:p xmlns:wp14="http://schemas.microsoft.com/office/word/2010/wordml" w14:paraId="5DAB6C7B" wp14:textId="77777777">
      <w:pPr>
        <w:pBdr>
          <w:bottom w:val="single" w:color="CCCCCC" w:sz="4" w:space="1"/>
        </w:pBdr>
        <w:spacing w:before="80" w:after="80"/>
      </w:pPr>
    </w:p>
    <w:p xmlns:wp14="http://schemas.microsoft.com/office/word/2010/wordml" w14:paraId="77BAA9FA" wp14:textId="77777777">
      <w:pPr>
        <w:pStyle w:val="Heading1"/>
        <w:spacing w:before="360" w:after="180"/>
      </w:pPr>
      <w:r>
        <w:rPr>
          <w:rFonts w:ascii="Arial" w:hAnsi="Arial" w:eastAsia="Arial" w:cs="Arial"/>
          <w:b/>
          <w:bCs/>
          <w:color w:val="1F3864"/>
          <w:sz w:val="28"/>
          <w:szCs w:val="28"/>
        </w:rPr>
        <w:t xml:space="preserve">II. Methodology</w:t>
      </w:r>
    </w:p>
    <w:p xmlns:wp14="http://schemas.microsoft.com/office/word/2010/wordml" w14:paraId="44F76797" wp14:textId="77777777">
      <w:pPr>
        <w:pStyle w:val="Heading2"/>
        <w:spacing w:before="240" w:after="120"/>
      </w:pPr>
      <w:r>
        <w:rPr>
          <w:rFonts w:ascii="Arial" w:hAnsi="Arial" w:eastAsia="Arial" w:cs="Arial"/>
          <w:b/>
          <w:bCs/>
          <w:color w:val="2E5396"/>
          <w:sz w:val="24"/>
          <w:szCs w:val="24"/>
        </w:rPr>
        <w:t xml:space="preserve">2.1 Data Acquisition and Preprocessing</w:t>
      </w:r>
    </w:p>
    <w:p xmlns:wp14="http://schemas.microsoft.com/office/word/2010/wordml" w14:paraId="15C14D7A" wp14:textId="77777777">
      <w:pPr>
        <w:spacing w:before="120" w:after="120"/>
        <w:jc w:val="both"/>
      </w:pPr>
      <w:r w:rsidRPr="4CBB5BEB" w:rsidR="4CBB5BEB">
        <w:rPr>
          <w:rFonts w:ascii="Arial" w:hAnsi="Arial" w:eastAsia="Arial" w:cs="Arial"/>
          <w:sz w:val="22"/>
          <w:szCs w:val="22"/>
          <w:lang w:val="en-US"/>
        </w:rPr>
        <w:t xml:space="preserve">The primary dataset, </w:t>
      </w:r>
      <w:r w:rsidRPr="4CBB5BEB" w:rsidR="4CBB5BEB">
        <w:rPr>
          <w:rFonts w:ascii="Arial" w:hAnsi="Arial" w:eastAsia="Arial" w:cs="Arial"/>
          <w:i w:val="1"/>
          <w:iCs w:val="1"/>
          <w:sz w:val="22"/>
          <w:szCs w:val="22"/>
          <w:lang w:val="en-US"/>
        </w:rPr>
        <w:t>clinical_interaction_real.csv</w:t>
      </w:r>
      <w:r w:rsidRPr="4CBB5BEB" w:rsidR="4CBB5BEB">
        <w:rPr>
          <w:rFonts w:ascii="Arial" w:hAnsi="Arial" w:eastAsia="Arial" w:cs="Arial"/>
          <w:sz w:val="22"/>
          <w:szCs w:val="22"/>
          <w:lang w:val="en-US"/>
        </w:rPr>
        <w:t xml:space="preserve">, was constructed by the </w:t>
      </w:r>
      <w:r w:rsidRPr="4CBB5BEB" w:rsidR="4CBB5BEB">
        <w:rPr>
          <w:rFonts w:ascii="Arial" w:hAnsi="Arial" w:eastAsia="Arial" w:cs="Arial"/>
          <w:i w:val="1"/>
          <w:iCs w:val="1"/>
          <w:sz w:val="22"/>
          <w:szCs w:val="22"/>
          <w:lang w:val="en-US"/>
        </w:rPr>
        <w:t>generate_real_fda_csv.py</w:t>
      </w:r>
      <w:r w:rsidRPr="4CBB5BEB" w:rsidR="4CBB5BEB">
        <w:rPr>
          <w:rFonts w:ascii="Arial" w:hAnsi="Arial" w:eastAsia="Arial" w:cs="Arial"/>
          <w:sz w:val="22"/>
          <w:szCs w:val="22"/>
          <w:lang w:val="en-US"/>
        </w:rPr>
        <w:t xml:space="preserve"> module, which systematically queries the </w:t>
      </w:r>
      <w:r w:rsidRPr="4CBB5BEB" w:rsidR="4CBB5BEB">
        <w:rPr>
          <w:rFonts w:ascii="Arial" w:hAnsi="Arial" w:eastAsia="Arial" w:cs="Arial"/>
          <w:sz w:val="22"/>
          <w:szCs w:val="22"/>
          <w:lang w:val="en-US"/>
        </w:rPr>
        <w:t>OpenFDA</w:t>
      </w:r>
      <w:r w:rsidRPr="4CBB5BEB" w:rsidR="4CBB5BEB">
        <w:rPr>
          <w:rFonts w:ascii="Arial" w:hAnsi="Arial" w:eastAsia="Arial" w:cs="Arial"/>
          <w:sz w:val="22"/>
          <w:szCs w:val="22"/>
          <w:lang w:val="en-US"/>
        </w:rPr>
        <w:t xml:space="preserve"> Drug Label API (</w:t>
      </w:r>
      <w:r w:rsidRPr="4CBB5BEB" w:rsidR="4CBB5BEB">
        <w:rPr>
          <w:rFonts w:ascii="Arial" w:hAnsi="Arial" w:eastAsia="Arial" w:cs="Arial"/>
          <w:i w:val="1"/>
          <w:iCs w:val="1"/>
          <w:sz w:val="22"/>
          <w:szCs w:val="22"/>
          <w:lang w:val="en-US"/>
        </w:rPr>
        <w:t>api.fda.gov/drug/</w:t>
      </w:r>
      <w:r w:rsidRPr="4CBB5BEB" w:rsidR="4CBB5BEB">
        <w:rPr>
          <w:rFonts w:ascii="Arial" w:hAnsi="Arial" w:eastAsia="Arial" w:cs="Arial"/>
          <w:i w:val="1"/>
          <w:iCs w:val="1"/>
          <w:sz w:val="22"/>
          <w:szCs w:val="22"/>
          <w:lang w:val="en-US"/>
        </w:rPr>
        <w:t>label.json</w:t>
      </w:r>
      <w:r w:rsidRPr="4CBB5BEB" w:rsidR="4CBB5BEB">
        <w:rPr>
          <w:rFonts w:ascii="Arial" w:hAnsi="Arial" w:eastAsia="Arial" w:cs="Arial"/>
          <w:sz w:val="22"/>
          <w:szCs w:val="22"/>
          <w:lang w:val="en-US"/>
        </w:rPr>
        <w:t>) for 110 FDA-approved anticancer agents spanning 23 drug classes including BCR-ABL inhibitors, EGFR inhibitors, PARP inhibitors, and alkylating agents. For each drug, the pipeline scans six structured label sections—</w:t>
      </w:r>
      <w:r w:rsidRPr="4CBB5BEB" w:rsidR="4CBB5BEB">
        <w:rPr>
          <w:rFonts w:ascii="Arial" w:hAnsi="Arial" w:eastAsia="Arial" w:cs="Arial"/>
          <w:i w:val="1"/>
          <w:iCs w:val="1"/>
          <w:sz w:val="22"/>
          <w:szCs w:val="22"/>
          <w:lang w:val="en-US"/>
        </w:rPr>
        <w:t>drug_interactions</w:t>
      </w:r>
      <w:r w:rsidRPr="4CBB5BEB" w:rsidR="4CBB5BEB">
        <w:rPr>
          <w:rFonts w:ascii="Arial" w:hAnsi="Arial" w:eastAsia="Arial" w:cs="Arial"/>
          <w:i w:val="1"/>
          <w:iCs w:val="1"/>
          <w:sz w:val="22"/>
          <w:szCs w:val="22"/>
          <w:lang w:val="en-US"/>
        </w:rPr>
        <w:t xml:space="preserve">, </w:t>
      </w:r>
      <w:r w:rsidRPr="4CBB5BEB" w:rsidR="4CBB5BEB">
        <w:rPr>
          <w:rFonts w:ascii="Arial" w:hAnsi="Arial" w:eastAsia="Arial" w:cs="Arial"/>
          <w:i w:val="1"/>
          <w:iCs w:val="1"/>
          <w:sz w:val="22"/>
          <w:szCs w:val="22"/>
          <w:lang w:val="en-US"/>
        </w:rPr>
        <w:t>clinical_pharmacology</w:t>
      </w:r>
      <w:r w:rsidRPr="4CBB5BEB" w:rsidR="4CBB5BEB">
        <w:rPr>
          <w:rFonts w:ascii="Arial" w:hAnsi="Arial" w:eastAsia="Arial" w:cs="Arial"/>
          <w:i w:val="1"/>
          <w:iCs w:val="1"/>
          <w:sz w:val="22"/>
          <w:szCs w:val="22"/>
          <w:lang w:val="en-US"/>
        </w:rPr>
        <w:t xml:space="preserve">, </w:t>
      </w:r>
      <w:r w:rsidRPr="4CBB5BEB" w:rsidR="4CBB5BEB">
        <w:rPr>
          <w:rFonts w:ascii="Arial" w:hAnsi="Arial" w:eastAsia="Arial" w:cs="Arial"/>
          <w:i w:val="1"/>
          <w:iCs w:val="1"/>
          <w:sz w:val="22"/>
          <w:szCs w:val="22"/>
          <w:lang w:val="en-US"/>
        </w:rPr>
        <w:t>warnings_and_cautions</w:t>
      </w:r>
      <w:r w:rsidRPr="4CBB5BEB" w:rsidR="4CBB5BEB">
        <w:rPr>
          <w:rFonts w:ascii="Arial" w:hAnsi="Arial" w:eastAsia="Arial" w:cs="Arial"/>
          <w:i w:val="1"/>
          <w:iCs w:val="1"/>
          <w:sz w:val="22"/>
          <w:szCs w:val="22"/>
          <w:lang w:val="en-US"/>
        </w:rPr>
        <w:t xml:space="preserve">, </w:t>
      </w:r>
      <w:r w:rsidRPr="4CBB5BEB" w:rsidR="4CBB5BEB">
        <w:rPr>
          <w:rFonts w:ascii="Arial" w:hAnsi="Arial" w:eastAsia="Arial" w:cs="Arial"/>
          <w:i w:val="1"/>
          <w:iCs w:val="1"/>
          <w:sz w:val="22"/>
          <w:szCs w:val="22"/>
          <w:lang w:val="en-US"/>
        </w:rPr>
        <w:t>information_for_patients</w:t>
      </w:r>
      <w:r w:rsidRPr="4CBB5BEB" w:rsidR="4CBB5BEB">
        <w:rPr>
          <w:rFonts w:ascii="Arial" w:hAnsi="Arial" w:eastAsia="Arial" w:cs="Arial"/>
          <w:i w:val="1"/>
          <w:iCs w:val="1"/>
          <w:sz w:val="22"/>
          <w:szCs w:val="22"/>
          <w:lang w:val="en-US"/>
        </w:rPr>
        <w:t xml:space="preserve">, </w:t>
      </w:r>
      <w:r w:rsidRPr="4CBB5BEB" w:rsidR="4CBB5BEB">
        <w:rPr>
          <w:rFonts w:ascii="Arial" w:hAnsi="Arial" w:eastAsia="Arial" w:cs="Arial"/>
          <w:i w:val="1"/>
          <w:iCs w:val="1"/>
          <w:sz w:val="22"/>
          <w:szCs w:val="22"/>
          <w:lang w:val="en-US"/>
        </w:rPr>
        <w:t>boxed_warning</w:t>
      </w:r>
      <w:r w:rsidRPr="4CBB5BEB" w:rsidR="4CBB5BEB">
        <w:rPr>
          <w:rFonts w:ascii="Arial" w:hAnsi="Arial" w:eastAsia="Arial" w:cs="Arial"/>
          <w:sz w:val="22"/>
          <w:szCs w:val="22"/>
          <w:lang w:val="en-US"/>
        </w:rPr>
        <w:t xml:space="preserve">, and </w:t>
      </w:r>
      <w:r w:rsidRPr="4CBB5BEB" w:rsidR="4CBB5BEB">
        <w:rPr>
          <w:rFonts w:ascii="Arial" w:hAnsi="Arial" w:eastAsia="Arial" w:cs="Arial"/>
          <w:i w:val="1"/>
          <w:iCs w:val="1"/>
          <w:sz w:val="22"/>
          <w:szCs w:val="22"/>
          <w:lang w:val="en-US"/>
        </w:rPr>
        <w:t>information_for_patients</w:t>
      </w:r>
      <w:r w:rsidRPr="4CBB5BEB" w:rsidR="4CBB5BEB">
        <w:rPr>
          <w:rFonts w:ascii="Arial" w:hAnsi="Arial" w:eastAsia="Arial" w:cs="Arial"/>
          <w:sz w:val="22"/>
          <w:szCs w:val="22"/>
          <w:lang w:val="en-US"/>
        </w:rPr>
        <w:t xml:space="preserve">—for 19 predefined food interaction terms (grapefruit, alcohol, St. John's Wort, fat, dairy, calcium, etc.) represented by their pharmacologically active chemical constituents via a deterministic </w:t>
      </w:r>
      <w:r w:rsidRPr="4CBB5BEB" w:rsidR="4CBB5BEB">
        <w:rPr>
          <w:rFonts w:ascii="Arial" w:hAnsi="Arial" w:eastAsia="Arial" w:cs="Arial"/>
          <w:i w:val="1"/>
          <w:iCs w:val="1"/>
          <w:sz w:val="22"/>
          <w:szCs w:val="22"/>
          <w:lang w:val="en-US"/>
        </w:rPr>
        <w:t>food_active_map</w:t>
      </w:r>
      <w:r w:rsidRPr="4CBB5BEB" w:rsidR="4CBB5BEB">
        <w:rPr>
          <w:rFonts w:ascii="Arial" w:hAnsi="Arial" w:eastAsia="Arial" w:cs="Arial"/>
          <w:sz w:val="22"/>
          <w:szCs w:val="22"/>
          <w:lang w:val="en-US"/>
        </w:rPr>
        <w:t xml:space="preserve"> dictionary (e.g., grapefruit → Bergamottin; green tea → Epigallocatechin gallate). When a food term is detected in the label text, interaction severity is assigned as Critical (2) for grapefruit or high-fat meal mentions, Critical (2) for St. John's Wort, and Moderate (1) for all other documented interactions, with ±20–60% bioavailability change magnitudes drawn from pharmacological literature. Non-mentioned pairs are labelled Neutral (0) with 0% change. A pharmacovigilance keyword density feature (</w:t>
      </w:r>
      <w:r w:rsidRPr="4CBB5BEB" w:rsidR="4CBB5BEB">
        <w:rPr>
          <w:rFonts w:ascii="Arial" w:hAnsi="Arial" w:eastAsia="Arial" w:cs="Arial"/>
          <w:i w:val="1"/>
          <w:iCs w:val="1"/>
          <w:sz w:val="22"/>
          <w:szCs w:val="22"/>
          <w:lang w:val="en-US"/>
        </w:rPr>
        <w:t>fda_interaction_keywords</w:t>
      </w:r>
      <w:r w:rsidRPr="4CBB5BEB" w:rsidR="4CBB5BEB">
        <w:rPr>
          <w:rFonts w:ascii="Arial" w:hAnsi="Arial" w:eastAsia="Arial" w:cs="Arial"/>
          <w:sz w:val="22"/>
          <w:szCs w:val="22"/>
          <w:lang w:val="en-US"/>
        </w:rPr>
        <w:t>) counts the occurrence of 13 interaction-relevant terms across the full label text as a drug-level signal.</w:t>
      </w:r>
    </w:p>
    <w:p xmlns:wp14="http://schemas.microsoft.com/office/word/2010/wordml" w14:paraId="221D5102" wp14:textId="77777777">
      <w:pPr>
        <w:spacing w:before="120" w:after="120"/>
        <w:jc w:val="both"/>
      </w:pPr>
      <w:r w:rsidRPr="4CBB5BEB" w:rsidR="4CBB5BEB">
        <w:rPr>
          <w:rFonts w:ascii="Arial" w:hAnsi="Arial" w:eastAsia="Arial" w:cs="Arial"/>
          <w:sz w:val="22"/>
          <w:szCs w:val="22"/>
          <w:lang w:val="en-US"/>
        </w:rPr>
        <w:t xml:space="preserve">Dataset balance was enforced by </w:t>
      </w:r>
      <w:r w:rsidRPr="4CBB5BEB" w:rsidR="4CBB5BEB">
        <w:rPr>
          <w:rFonts w:ascii="Arial" w:hAnsi="Arial" w:eastAsia="Arial" w:cs="Arial"/>
          <w:sz w:val="22"/>
          <w:szCs w:val="22"/>
          <w:lang w:val="en-US"/>
        </w:rPr>
        <w:t>downsampling</w:t>
      </w:r>
      <w:r w:rsidRPr="4CBB5BEB" w:rsidR="4CBB5BEB">
        <w:rPr>
          <w:rFonts w:ascii="Arial" w:hAnsi="Arial" w:eastAsia="Arial" w:cs="Arial"/>
          <w:sz w:val="22"/>
          <w:szCs w:val="22"/>
          <w:lang w:val="en-US"/>
        </w:rPr>
        <w:t xml:space="preserve"> all three classes to equal counts per split, yielding a final dataset of 438 pairs: 354 in the training partition and 84 in the leave-one-drug-out (LODO) holdout. The LODO split was constructed by </w:t>
      </w:r>
      <w:r w:rsidRPr="4CBB5BEB" w:rsidR="4CBB5BEB">
        <w:rPr>
          <w:rFonts w:ascii="Arial" w:hAnsi="Arial" w:eastAsia="Arial" w:cs="Arial"/>
          <w:sz w:val="22"/>
          <w:szCs w:val="22"/>
          <w:lang w:val="en-US"/>
        </w:rPr>
        <w:t>designating</w:t>
      </w:r>
      <w:r w:rsidRPr="4CBB5BEB" w:rsidR="4CBB5BEB">
        <w:rPr>
          <w:rFonts w:ascii="Arial" w:hAnsi="Arial" w:eastAsia="Arial" w:cs="Arial"/>
          <w:sz w:val="22"/>
          <w:szCs w:val="22"/>
          <w:lang w:val="en-US"/>
        </w:rPr>
        <w:t xml:space="preserve"> one complete drug per drug class as structurally unseen (e.g., Ibrutinib held out from </w:t>
      </w:r>
      <w:r w:rsidRPr="4CBB5BEB" w:rsidR="4CBB5BEB">
        <w:rPr>
          <w:rFonts w:ascii="Arial" w:hAnsi="Arial" w:eastAsia="Arial" w:cs="Arial"/>
          <w:sz w:val="22"/>
          <w:szCs w:val="22"/>
          <w:lang w:val="en-US"/>
        </w:rPr>
        <w:t>BTK_inhibitor</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Ceritinib</w:t>
      </w:r>
      <w:r w:rsidRPr="4CBB5BEB" w:rsidR="4CBB5BEB">
        <w:rPr>
          <w:rFonts w:ascii="Arial" w:hAnsi="Arial" w:eastAsia="Arial" w:cs="Arial"/>
          <w:sz w:val="22"/>
          <w:szCs w:val="22"/>
          <w:lang w:val="en-US"/>
        </w:rPr>
        <w:t xml:space="preserve"> from </w:t>
      </w:r>
      <w:r w:rsidRPr="4CBB5BEB" w:rsidR="4CBB5BEB">
        <w:rPr>
          <w:rFonts w:ascii="Arial" w:hAnsi="Arial" w:eastAsia="Arial" w:cs="Arial"/>
          <w:sz w:val="22"/>
          <w:szCs w:val="22"/>
          <w:lang w:val="en-US"/>
        </w:rPr>
        <w:t>ALK_inhibitor</w:t>
      </w:r>
      <w:r w:rsidRPr="4CBB5BEB" w:rsidR="4CBB5BEB">
        <w:rPr>
          <w:rFonts w:ascii="Arial" w:hAnsi="Arial" w:eastAsia="Arial" w:cs="Arial"/>
          <w:sz w:val="22"/>
          <w:szCs w:val="22"/>
          <w:lang w:val="en-US"/>
        </w:rPr>
        <w:t>), ensuring the unseen evaluation set is genuinely out-of-distribution with respect to molecular scaffold. Isomeric SMILES for all compounds were retrieved from PubChem via the REST API (</w:t>
      </w:r>
      <w:r w:rsidRPr="4CBB5BEB" w:rsidR="4CBB5BEB">
        <w:rPr>
          <w:rFonts w:ascii="Arial" w:hAnsi="Arial" w:eastAsia="Arial" w:cs="Arial"/>
          <w:i w:val="1"/>
          <w:iCs w:val="1"/>
          <w:sz w:val="22"/>
          <w:szCs w:val="22"/>
          <w:lang w:val="en-US"/>
        </w:rPr>
        <w:t>pubchem.ncbi.nlm.nih.gov/rest/pug/compound/name/{name}/property/</w:t>
      </w:r>
      <w:r w:rsidRPr="4CBB5BEB" w:rsidR="4CBB5BEB">
        <w:rPr>
          <w:rFonts w:ascii="Arial" w:hAnsi="Arial" w:eastAsia="Arial" w:cs="Arial"/>
          <w:i w:val="1"/>
          <w:iCs w:val="1"/>
          <w:sz w:val="22"/>
          <w:szCs w:val="22"/>
          <w:lang w:val="en-US"/>
        </w:rPr>
        <w:t>IsomericSMILES</w:t>
      </w:r>
      <w:r w:rsidRPr="4CBB5BEB" w:rsidR="4CBB5BEB">
        <w:rPr>
          <w:rFonts w:ascii="Arial" w:hAnsi="Arial" w:eastAsia="Arial" w:cs="Arial"/>
          <w:i w:val="1"/>
          <w:iCs w:val="1"/>
          <w:sz w:val="22"/>
          <w:szCs w:val="22"/>
          <w:lang w:val="en-US"/>
        </w:rPr>
        <w:t>/JSON</w:t>
      </w:r>
      <w:r w:rsidRPr="4CBB5BEB" w:rsidR="4CBB5BEB">
        <w:rPr>
          <w:rFonts w:ascii="Arial" w:hAnsi="Arial" w:eastAsia="Arial" w:cs="Arial"/>
          <w:sz w:val="22"/>
          <w:szCs w:val="22"/>
          <w:lang w:val="en-US"/>
        </w:rPr>
        <w:t xml:space="preserve">) with a 0.3-second inter-request delay and a local cache dictionary to avoid redundant API calls. Entries for which no valid SMILES </w:t>
      </w:r>
      <w:r w:rsidRPr="4CBB5BEB" w:rsidR="4CBB5BEB">
        <w:rPr>
          <w:rFonts w:ascii="Arial" w:hAnsi="Arial" w:eastAsia="Arial" w:cs="Arial"/>
          <w:sz w:val="22"/>
          <w:szCs w:val="22"/>
          <w:lang w:val="en-US"/>
        </w:rPr>
        <w:t>was</w:t>
      </w:r>
      <w:r w:rsidRPr="4CBB5BEB" w:rsidR="4CBB5BEB">
        <w:rPr>
          <w:rFonts w:ascii="Arial" w:hAnsi="Arial" w:eastAsia="Arial" w:cs="Arial"/>
          <w:sz w:val="22"/>
          <w:szCs w:val="22"/>
          <w:lang w:val="en-US"/>
        </w:rPr>
        <w:t xml:space="preserve"> returned were discarded.</w:t>
      </w:r>
    </w:p>
    <w:p xmlns:wp14="http://schemas.microsoft.com/office/word/2010/wordml" w14:paraId="437ADDC8" wp14:textId="77777777">
      <w:pPr>
        <w:pStyle w:val="Heading2"/>
        <w:spacing w:before="240" w:after="120"/>
      </w:pPr>
      <w:r>
        <w:rPr>
          <w:rFonts w:ascii="Arial" w:hAnsi="Arial" w:eastAsia="Arial" w:cs="Arial"/>
          <w:b/>
          <w:bCs/>
          <w:color w:val="2E5396"/>
          <w:sz w:val="24"/>
          <w:szCs w:val="24"/>
        </w:rPr>
        <w:t xml:space="preserve">2.2 Feature Engineering</w:t>
      </w:r>
    </w:p>
    <w:p xmlns:wp14="http://schemas.microsoft.com/office/word/2010/wordml" w14:paraId="43B36310" wp14:textId="77777777">
      <w:pPr>
        <w:spacing w:before="120" w:after="120"/>
        <w:jc w:val="both"/>
      </w:pPr>
      <w:r w:rsidRPr="4CBB5BEB" w:rsidR="4CBB5BEB">
        <w:rPr>
          <w:rFonts w:ascii="Arial" w:hAnsi="Arial" w:eastAsia="Arial" w:cs="Arial"/>
          <w:sz w:val="22"/>
          <w:szCs w:val="22"/>
          <w:lang w:val="en-US"/>
        </w:rPr>
        <w:t xml:space="preserve">The </w:t>
      </w:r>
      <w:r w:rsidRPr="4CBB5BEB" w:rsidR="4CBB5BEB">
        <w:rPr>
          <w:rFonts w:ascii="Arial" w:hAnsi="Arial" w:eastAsia="Arial" w:cs="Arial"/>
          <w:i w:val="1"/>
          <w:iCs w:val="1"/>
          <w:sz w:val="22"/>
          <w:szCs w:val="22"/>
          <w:lang w:val="en-US"/>
        </w:rPr>
        <w:t>build_feature_matrix</w:t>
      </w:r>
      <w:r w:rsidRPr="4CBB5BEB" w:rsidR="4CBB5BEB">
        <w:rPr>
          <w:rFonts w:ascii="Arial" w:hAnsi="Arial" w:eastAsia="Arial" w:cs="Arial"/>
          <w:i w:val="1"/>
          <w:iCs w:val="1"/>
          <w:sz w:val="22"/>
          <w:szCs w:val="22"/>
          <w:lang w:val="en-US"/>
        </w:rPr>
        <w:t>()</w:t>
      </w:r>
      <w:r w:rsidRPr="4CBB5BEB" w:rsidR="4CBB5BEB">
        <w:rPr>
          <w:rFonts w:ascii="Arial" w:hAnsi="Arial" w:eastAsia="Arial" w:cs="Arial"/>
          <w:sz w:val="22"/>
          <w:szCs w:val="22"/>
          <w:lang w:val="en-US"/>
        </w:rPr>
        <w:t xml:space="preserve"> function constructs a 532-dimensional feature vector for each drug–food pair using three complementary representation strategies. First, Morgan circular fingerprints [</w:t>
      </w:r>
      <w:r w:rsidRPr="4CBB5BEB" w:rsidR="4CBB5BEB">
        <w:rPr>
          <w:rFonts w:ascii="Arial" w:hAnsi="Arial" w:eastAsia="Arial" w:cs="Arial"/>
          <w:sz w:val="18"/>
          <w:szCs w:val="18"/>
          <w:vertAlign w:val="superscript"/>
          <w:lang w:val="en-US"/>
        </w:rPr>
        <w:t>6</w:t>
      </w:r>
      <w:r w:rsidRPr="4CBB5BEB" w:rsidR="4CBB5BEB">
        <w:rPr>
          <w:rFonts w:ascii="Arial" w:hAnsi="Arial" w:eastAsia="Arial" w:cs="Arial"/>
          <w:sz w:val="22"/>
          <w:szCs w:val="22"/>
          <w:lang w:val="en-US"/>
        </w:rPr>
        <w:t xml:space="preserve">] of radius </w:t>
      </w:r>
      <w:r w:rsidRPr="4CBB5BEB" w:rsidR="4CBB5BEB">
        <w:rPr>
          <w:rFonts w:ascii="Arial" w:hAnsi="Arial" w:eastAsia="Arial" w:cs="Arial"/>
          <w:i w:val="1"/>
          <w:iCs w:val="1"/>
          <w:sz w:val="22"/>
          <w:szCs w:val="22"/>
          <w:lang w:val="en-US"/>
        </w:rPr>
        <w:t>r</w:t>
      </w:r>
      <w:r w:rsidRPr="4CBB5BEB" w:rsidR="4CBB5BEB">
        <w:rPr>
          <w:rFonts w:ascii="Arial" w:hAnsi="Arial" w:eastAsia="Arial" w:cs="Arial"/>
          <w:sz w:val="22"/>
          <w:szCs w:val="22"/>
          <w:lang w:val="en-US"/>
        </w:rPr>
        <w:t xml:space="preserve"> = 2 and length </w:t>
      </w:r>
      <w:r w:rsidRPr="4CBB5BEB" w:rsidR="4CBB5BEB">
        <w:rPr>
          <w:rFonts w:ascii="Arial" w:hAnsi="Arial" w:eastAsia="Arial" w:cs="Arial"/>
          <w:i w:val="1"/>
          <w:iCs w:val="1"/>
          <w:sz w:val="22"/>
          <w:szCs w:val="22"/>
          <w:lang w:val="en-US"/>
        </w:rPr>
        <w:t>n</w:t>
      </w:r>
      <w:r w:rsidRPr="4CBB5BEB" w:rsidR="4CBB5BEB">
        <w:rPr>
          <w:rFonts w:ascii="Arial" w:hAnsi="Arial" w:eastAsia="Arial" w:cs="Arial"/>
          <w:sz w:val="22"/>
          <w:szCs w:val="22"/>
          <w:lang w:val="en-US"/>
        </w:rPr>
        <w:t xml:space="preserve"> = 256 bits are computed independently for the drug and food molecules using </w:t>
      </w:r>
      <w:r w:rsidRPr="4CBB5BEB" w:rsidR="4CBB5BEB">
        <w:rPr>
          <w:rFonts w:ascii="Arial" w:hAnsi="Arial" w:eastAsia="Arial" w:cs="Arial"/>
          <w:i w:val="1"/>
          <w:iCs w:val="1"/>
          <w:sz w:val="22"/>
          <w:szCs w:val="22"/>
          <w:lang w:val="en-US"/>
        </w:rPr>
        <w:t>rdFingerprintGenerator.GetMorganGenerator</w:t>
      </w:r>
      <w:r w:rsidRPr="4CBB5BEB" w:rsidR="4CBB5BEB">
        <w:rPr>
          <w:rFonts w:ascii="Arial" w:hAnsi="Arial" w:eastAsia="Arial" w:cs="Arial"/>
          <w:i w:val="1"/>
          <w:iCs w:val="1"/>
          <w:sz w:val="22"/>
          <w:szCs w:val="22"/>
          <w:lang w:val="en-US"/>
        </w:rPr>
        <w:t>()</w:t>
      </w:r>
      <w:r w:rsidRPr="4CBB5BEB" w:rsidR="4CBB5BEB">
        <w:rPr>
          <w:rFonts w:ascii="Arial" w:hAnsi="Arial" w:eastAsia="Arial" w:cs="Arial"/>
          <w:sz w:val="22"/>
          <w:szCs w:val="22"/>
          <w:lang w:val="en-US"/>
        </w:rPr>
        <w:t xml:space="preserve"> from </w:t>
      </w:r>
      <w:r w:rsidRPr="4CBB5BEB" w:rsidR="4CBB5BEB">
        <w:rPr>
          <w:rFonts w:ascii="Arial" w:hAnsi="Arial" w:eastAsia="Arial" w:cs="Arial"/>
          <w:sz w:val="22"/>
          <w:szCs w:val="22"/>
          <w:lang w:val="en-US"/>
        </w:rPr>
        <w:t>RDKit</w:t>
      </w:r>
      <w:r w:rsidRPr="4CBB5BEB" w:rsidR="4CBB5BEB">
        <w:rPr>
          <w:rFonts w:ascii="Arial" w:hAnsi="Arial" w:eastAsia="Arial" w:cs="Arial"/>
          <w:sz w:val="22"/>
          <w:szCs w:val="22"/>
          <w:lang w:val="en-US"/>
        </w:rPr>
        <w:t>, yielding a concatenated 512-bit binary vector encoding local topological substructures. These fingerprints capture pharmacophore-level patterns (aromatic rings, hydrogen-bond donors, halogen substituents) relevant to CYP450 binding and intestinal transport modulation. Second, nine physicochemical Lipinski descriptors are computed per molecule—molecular weight (</w:t>
      </w:r>
      <w:r w:rsidRPr="4CBB5BEB" w:rsidR="4CBB5BEB">
        <w:rPr>
          <w:rFonts w:ascii="Arial" w:hAnsi="Arial" w:eastAsia="Arial" w:cs="Arial"/>
          <w:i w:val="1"/>
          <w:iCs w:val="1"/>
          <w:sz w:val="22"/>
          <w:szCs w:val="22"/>
          <w:lang w:val="en-US"/>
        </w:rPr>
        <w:t>MW</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LogP</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TPSA</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HBD</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HBA</w:t>
      </w:r>
      <w:r w:rsidRPr="4CBB5BEB" w:rsidR="4CBB5BEB">
        <w:rPr>
          <w:rFonts w:ascii="Arial" w:hAnsi="Arial" w:eastAsia="Arial" w:cs="Arial"/>
          <w:sz w:val="22"/>
          <w:szCs w:val="22"/>
          <w:lang w:val="en-US"/>
        </w:rPr>
        <w:t xml:space="preserve">, rotatable bonds, aromatic ring count, a computational </w:t>
      </w:r>
      <w:r w:rsidRPr="4CBB5BEB" w:rsidR="4CBB5BEB">
        <w:rPr>
          <w:rFonts w:ascii="Arial" w:hAnsi="Arial" w:eastAsia="Arial" w:cs="Arial"/>
          <w:i w:val="1"/>
          <w:iCs w:val="1"/>
          <w:sz w:val="22"/>
          <w:szCs w:val="22"/>
          <w:lang w:val="en-US"/>
        </w:rPr>
        <w:t>LogD</w:t>
      </w:r>
      <w:r w:rsidRPr="4CBB5BEB" w:rsidR="4CBB5BEB">
        <w:rPr>
          <w:rFonts w:ascii="Arial" w:hAnsi="Arial" w:eastAsia="Arial" w:cs="Arial"/>
          <w:sz w:val="22"/>
          <w:szCs w:val="22"/>
          <w:lang w:val="en-US"/>
        </w:rPr>
        <w:t xml:space="preserve"> approximation (</w:t>
      </w:r>
      <w:r w:rsidRPr="4CBB5BEB" w:rsidR="4CBB5BEB">
        <w:rPr>
          <w:rFonts w:ascii="Arial" w:hAnsi="Arial" w:eastAsia="Arial" w:cs="Arial"/>
          <w:i w:val="1"/>
          <w:iCs w:val="1"/>
          <w:sz w:val="22"/>
          <w:szCs w:val="22"/>
          <w:lang w:val="en-US"/>
        </w:rPr>
        <w:t>LogP</w:t>
      </w:r>
      <w:r w:rsidRPr="4CBB5BEB" w:rsidR="4CBB5BEB">
        <w:rPr>
          <w:rFonts w:ascii="Arial" w:hAnsi="Arial" w:eastAsia="Arial" w:cs="Arial"/>
          <w:i w:val="1"/>
          <w:iCs w:val="1"/>
          <w:sz w:val="22"/>
          <w:szCs w:val="22"/>
          <w:lang w:val="en-US"/>
        </w:rPr>
        <w:t xml:space="preserve"> − TPSA/100</w:t>
      </w:r>
      <w:r w:rsidRPr="4CBB5BEB" w:rsidR="4CBB5BEB">
        <w:rPr>
          <w:rFonts w:ascii="Arial" w:hAnsi="Arial" w:eastAsia="Arial" w:cs="Arial"/>
          <w:sz w:val="22"/>
          <w:szCs w:val="22"/>
          <w:lang w:val="en-US"/>
        </w:rPr>
        <w:t>), and Lipinski Rule-of-Five violation count—yielding 18 continuous descriptors. Third, a Tanimoto coefficient τ is computed between drug and food Morgan fingerprints as:</w:t>
      </w:r>
    </w:p>
    <w:p xmlns:wp14="http://schemas.microsoft.com/office/word/2010/wordml" w14:paraId="3B775107" wp14:textId="77777777">
      <w:pPr>
        <w:spacing w:before="160" w:after="160"/>
        <w:jc w:val="center"/>
      </w:pPr>
      <w:r w:rsidRPr="4CBB5BEB" w:rsidR="4CBB5BEB">
        <w:rPr>
          <w:rFonts w:ascii="Courier New" w:hAnsi="Courier New" w:eastAsia="Courier New" w:cs="Courier New"/>
          <w:b w:val="1"/>
          <w:bCs w:val="1"/>
          <w:sz w:val="22"/>
          <w:szCs w:val="22"/>
          <w:lang w:val="en-US"/>
        </w:rPr>
        <w:t>τ(</w:t>
      </w:r>
      <w:r w:rsidRPr="4CBB5BEB" w:rsidR="4CBB5BEB">
        <w:rPr>
          <w:rFonts w:ascii="Courier New" w:hAnsi="Courier New" w:eastAsia="Courier New" w:cs="Courier New"/>
          <w:b w:val="1"/>
          <w:bCs w:val="1"/>
          <w:sz w:val="22"/>
          <w:szCs w:val="22"/>
          <w:lang w:val="en-US"/>
        </w:rPr>
        <w:t>A,B</w:t>
      </w:r>
      <w:r w:rsidRPr="4CBB5BEB" w:rsidR="4CBB5BEB">
        <w:rPr>
          <w:rFonts w:ascii="Courier New" w:hAnsi="Courier New" w:eastAsia="Courier New" w:cs="Courier New"/>
          <w:b w:val="1"/>
          <w:bCs w:val="1"/>
          <w:sz w:val="22"/>
          <w:szCs w:val="22"/>
          <w:lang w:val="en-US"/>
        </w:rPr>
        <w:t>) = |A ∩ B| / |A ∪ B|</w:t>
      </w:r>
    </w:p>
    <w:p xmlns:wp14="http://schemas.microsoft.com/office/word/2010/wordml" w14:paraId="402C9B33" wp14:textId="77777777">
      <w:pPr>
        <w:spacing w:before="120" w:after="120"/>
        <w:jc w:val="both"/>
      </w:pPr>
      <w:r w:rsidRPr="4CBB5BEB" w:rsidR="4CBB5BEB">
        <w:rPr>
          <w:rFonts w:ascii="Arial" w:hAnsi="Arial" w:eastAsia="Arial" w:cs="Arial"/>
          <w:sz w:val="22"/>
          <w:szCs w:val="22"/>
          <w:lang w:val="en-US"/>
        </w:rPr>
        <w:t>where</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A</w:t>
      </w:r>
      <w:r w:rsidRPr="4CBB5BEB" w:rsidR="4CBB5BEB">
        <w:rPr>
          <w:rFonts w:ascii="Arial" w:hAnsi="Arial" w:eastAsia="Arial" w:cs="Arial"/>
          <w:sz w:val="22"/>
          <w:szCs w:val="22"/>
          <w:lang w:val="en-US"/>
        </w:rPr>
        <w:t xml:space="preserve"> and </w:t>
      </w:r>
      <w:r w:rsidRPr="4CBB5BEB" w:rsidR="4CBB5BEB">
        <w:rPr>
          <w:rFonts w:ascii="Arial" w:hAnsi="Arial" w:eastAsia="Arial" w:cs="Arial"/>
          <w:i w:val="1"/>
          <w:iCs w:val="1"/>
          <w:sz w:val="22"/>
          <w:szCs w:val="22"/>
          <w:lang w:val="en-US"/>
        </w:rPr>
        <w:t>B</w:t>
      </w:r>
      <w:r w:rsidRPr="4CBB5BEB" w:rsidR="4CBB5BEB">
        <w:rPr>
          <w:rFonts w:ascii="Arial" w:hAnsi="Arial" w:eastAsia="Arial" w:cs="Arial"/>
          <w:sz w:val="22"/>
          <w:szCs w:val="22"/>
          <w:lang w:val="en-US"/>
        </w:rPr>
        <w:t xml:space="preserve"> denote the bit-set representations of the drug and food </w:t>
      </w:r>
      <w:r w:rsidRPr="4CBB5BEB" w:rsidR="4CBB5BEB">
        <w:rPr>
          <w:rFonts w:ascii="Arial" w:hAnsi="Arial" w:eastAsia="Arial" w:cs="Arial"/>
          <w:sz w:val="22"/>
          <w:szCs w:val="22"/>
          <w:lang w:val="en-US"/>
        </w:rPr>
        <w:t>fingerprints</w:t>
      </w:r>
      <w:r w:rsidRPr="4CBB5BEB" w:rsidR="4CBB5BEB">
        <w:rPr>
          <w:rFonts w:ascii="Arial" w:hAnsi="Arial" w:eastAsia="Arial" w:cs="Arial"/>
          <w:sz w:val="22"/>
          <w:szCs w:val="22"/>
          <w:lang w:val="en-US"/>
        </w:rPr>
        <w:t xml:space="preserve"> respectively. Higher τ indicates structural similarity, which can imply competitive CYP450 binding. Live PubChem API calls supplement five </w:t>
      </w:r>
      <w:r w:rsidRPr="4CBB5BEB" w:rsidR="4CBB5BEB">
        <w:rPr>
          <w:rFonts w:ascii="Arial" w:hAnsi="Arial" w:eastAsia="Arial" w:cs="Arial"/>
          <w:sz w:val="22"/>
          <w:szCs w:val="22"/>
          <w:lang w:val="en-US"/>
        </w:rPr>
        <w:t>additional</w:t>
      </w:r>
      <w:r w:rsidRPr="4CBB5BEB" w:rsidR="4CBB5BEB">
        <w:rPr>
          <w:rFonts w:ascii="Arial" w:hAnsi="Arial" w:eastAsia="Arial" w:cs="Arial"/>
          <w:sz w:val="22"/>
          <w:szCs w:val="22"/>
          <w:lang w:val="en-US"/>
        </w:rPr>
        <w:t xml:space="preserve"> molecular properties per compound (</w:t>
      </w:r>
      <w:r w:rsidRPr="4CBB5BEB" w:rsidR="4CBB5BEB">
        <w:rPr>
          <w:rFonts w:ascii="Arial" w:hAnsi="Arial" w:eastAsia="Arial" w:cs="Arial"/>
          <w:i w:val="1"/>
          <w:iCs w:val="1"/>
          <w:sz w:val="22"/>
          <w:szCs w:val="22"/>
          <w:lang w:val="en-US"/>
        </w:rPr>
        <w:t xml:space="preserve">MW, </w:t>
      </w:r>
      <w:r w:rsidRPr="4CBB5BEB" w:rsidR="4CBB5BEB">
        <w:rPr>
          <w:rFonts w:ascii="Arial" w:hAnsi="Arial" w:eastAsia="Arial" w:cs="Arial"/>
          <w:i w:val="1"/>
          <w:iCs w:val="1"/>
          <w:sz w:val="22"/>
          <w:szCs w:val="22"/>
          <w:lang w:val="en-US"/>
        </w:rPr>
        <w:t>XLogP</w:t>
      </w:r>
      <w:r w:rsidRPr="4CBB5BEB" w:rsidR="4CBB5BEB">
        <w:rPr>
          <w:rFonts w:ascii="Arial" w:hAnsi="Arial" w:eastAsia="Arial" w:cs="Arial"/>
          <w:i w:val="1"/>
          <w:iCs w:val="1"/>
          <w:sz w:val="22"/>
          <w:szCs w:val="22"/>
          <w:lang w:val="en-US"/>
        </w:rPr>
        <w:t>, TPSA, HBD, HBA</w:t>
      </w:r>
      <w:r w:rsidRPr="4CBB5BEB" w:rsidR="4CBB5BEB">
        <w:rPr>
          <w:rFonts w:ascii="Arial" w:hAnsi="Arial" w:eastAsia="Arial" w:cs="Arial"/>
          <w:sz w:val="22"/>
          <w:szCs w:val="22"/>
          <w:lang w:val="en-US"/>
        </w:rPr>
        <w:t xml:space="preserve">) sourced independently from the local </w:t>
      </w:r>
      <w:r w:rsidRPr="4CBB5BEB" w:rsidR="4CBB5BEB">
        <w:rPr>
          <w:rFonts w:ascii="Arial" w:hAnsi="Arial" w:eastAsia="Arial" w:cs="Arial"/>
          <w:sz w:val="22"/>
          <w:szCs w:val="22"/>
          <w:lang w:val="en-US"/>
        </w:rPr>
        <w:t>RDKit</w:t>
      </w:r>
      <w:r w:rsidRPr="4CBB5BEB" w:rsidR="4CBB5BEB">
        <w:rPr>
          <w:rFonts w:ascii="Arial" w:hAnsi="Arial" w:eastAsia="Arial" w:cs="Arial"/>
          <w:sz w:val="22"/>
          <w:szCs w:val="22"/>
          <w:lang w:val="en-US"/>
        </w:rPr>
        <w:t xml:space="preserve"> computation, providing an orthogonal validation and expanding the descriptor space. The final feature matrix thus </w:t>
      </w:r>
      <w:r w:rsidRPr="4CBB5BEB" w:rsidR="4CBB5BEB">
        <w:rPr>
          <w:rFonts w:ascii="Arial" w:hAnsi="Arial" w:eastAsia="Arial" w:cs="Arial"/>
          <w:sz w:val="22"/>
          <w:szCs w:val="22"/>
          <w:lang w:val="en-US"/>
        </w:rPr>
        <w:t>comprises</w:t>
      </w:r>
      <w:r w:rsidRPr="4CBB5BEB" w:rsidR="4CBB5BEB">
        <w:rPr>
          <w:rFonts w:ascii="Arial" w:hAnsi="Arial" w:eastAsia="Arial" w:cs="Arial"/>
          <w:sz w:val="22"/>
          <w:szCs w:val="22"/>
          <w:lang w:val="en-US"/>
        </w:rPr>
        <w:t xml:space="preserve"> 512 Morgan bits + 18 </w:t>
      </w:r>
      <w:r w:rsidRPr="4CBB5BEB" w:rsidR="4CBB5BEB">
        <w:rPr>
          <w:rFonts w:ascii="Arial" w:hAnsi="Arial" w:eastAsia="Arial" w:cs="Arial"/>
          <w:sz w:val="22"/>
          <w:szCs w:val="22"/>
          <w:lang w:val="en-US"/>
        </w:rPr>
        <w:t>RDKit</w:t>
      </w:r>
      <w:r w:rsidRPr="4CBB5BEB" w:rsidR="4CBB5BEB">
        <w:rPr>
          <w:rFonts w:ascii="Arial" w:hAnsi="Arial" w:eastAsia="Arial" w:cs="Arial"/>
          <w:sz w:val="22"/>
          <w:szCs w:val="22"/>
          <w:lang w:val="en-US"/>
        </w:rPr>
        <w:t xml:space="preserve"> descriptors + 10 PubChem API properties + 1 Tanimoto score + 1 FDA keyword count = </w:t>
      </w:r>
      <w:r w:rsidRPr="4CBB5BEB" w:rsidR="4CBB5BEB">
        <w:rPr>
          <w:rFonts w:ascii="Arial" w:hAnsi="Arial" w:eastAsia="Arial" w:cs="Arial"/>
          <w:b w:val="1"/>
          <w:bCs w:val="1"/>
          <w:sz w:val="22"/>
          <w:szCs w:val="22"/>
          <w:lang w:val="en-US"/>
        </w:rPr>
        <w:t>542 raw features</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subsequently</w:t>
      </w:r>
      <w:r w:rsidRPr="4CBB5BEB" w:rsidR="4CBB5BEB">
        <w:rPr>
          <w:rFonts w:ascii="Arial" w:hAnsi="Arial" w:eastAsia="Arial" w:cs="Arial"/>
          <w:sz w:val="22"/>
          <w:szCs w:val="22"/>
          <w:lang w:val="en-US"/>
        </w:rPr>
        <w:t xml:space="preserve"> reduced to </w:t>
      </w:r>
      <w:r w:rsidRPr="4CBB5BEB" w:rsidR="4CBB5BEB">
        <w:rPr>
          <w:rFonts w:ascii="Arial" w:hAnsi="Arial" w:eastAsia="Arial" w:cs="Arial"/>
          <w:b w:val="1"/>
          <w:bCs w:val="1"/>
          <w:sz w:val="22"/>
          <w:szCs w:val="22"/>
          <w:lang w:val="en-US"/>
        </w:rPr>
        <w:t>532 dimensions</w:t>
      </w:r>
      <w:r w:rsidRPr="4CBB5BEB" w:rsidR="4CBB5BEB">
        <w:rPr>
          <w:rFonts w:ascii="Arial" w:hAnsi="Arial" w:eastAsia="Arial" w:cs="Arial"/>
          <w:sz w:val="22"/>
          <w:szCs w:val="22"/>
          <w:lang w:val="en-US"/>
        </w:rPr>
        <w:t xml:space="preserve"> after Recursive Feature Elimination (RFE).</w:t>
      </w:r>
    </w:p>
    <w:p xmlns:wp14="http://schemas.microsoft.com/office/word/2010/wordml" w14:paraId="38E03DA2" wp14:textId="77777777">
      <w:pPr>
        <w:spacing w:before="120" w:after="120"/>
        <w:jc w:val="both"/>
      </w:pPr>
      <w:r w:rsidRPr="4CBB5BEB" w:rsidR="4CBB5BEB">
        <w:rPr>
          <w:rFonts w:ascii="Arial" w:hAnsi="Arial" w:eastAsia="Arial" w:cs="Arial"/>
          <w:sz w:val="22"/>
          <w:szCs w:val="22"/>
          <w:lang w:val="en-US"/>
        </w:rPr>
        <w:t>Feature selection applies RFE with a Logistic Regression base estimator (</w:t>
      </w:r>
      <w:r w:rsidRPr="4CBB5BEB" w:rsidR="4CBB5BEB">
        <w:rPr>
          <w:rFonts w:ascii="Arial" w:hAnsi="Arial" w:eastAsia="Arial" w:cs="Arial"/>
          <w:i w:val="1"/>
          <w:iCs w:val="1"/>
          <w:sz w:val="22"/>
          <w:szCs w:val="22"/>
          <w:lang w:val="en-US"/>
        </w:rPr>
        <w:t>C</w:t>
      </w:r>
      <w:r w:rsidRPr="4CBB5BEB" w:rsidR="4CBB5BEB">
        <w:rPr>
          <w:rFonts w:ascii="Arial" w:hAnsi="Arial" w:eastAsia="Arial" w:cs="Arial"/>
          <w:sz w:val="22"/>
          <w:szCs w:val="22"/>
          <w:lang w:val="en-US"/>
        </w:rPr>
        <w:t xml:space="preserve"> = 0.1, </w:t>
      </w:r>
      <w:r w:rsidRPr="4CBB5BEB" w:rsidR="4CBB5BEB">
        <w:rPr>
          <w:rFonts w:ascii="Arial" w:hAnsi="Arial" w:eastAsia="Arial" w:cs="Arial"/>
          <w:i w:val="1"/>
          <w:iCs w:val="1"/>
          <w:sz w:val="22"/>
          <w:szCs w:val="22"/>
          <w:lang w:val="en-US"/>
        </w:rPr>
        <w:t>max_iter</w:t>
      </w:r>
      <w:r w:rsidRPr="4CBB5BEB" w:rsidR="4CBB5BEB">
        <w:rPr>
          <w:rFonts w:ascii="Arial" w:hAnsi="Arial" w:eastAsia="Arial" w:cs="Arial"/>
          <w:sz w:val="22"/>
          <w:szCs w:val="22"/>
          <w:lang w:val="en-US"/>
        </w:rPr>
        <w:t xml:space="preserve"> = 500) to the non-fingerprint columns, selecting the top 20 most discriminative continuous descriptors. The RFE mask is applied only to the 20 descriptor columns; the full 512-bit Morgan arrays are </w:t>
      </w:r>
      <w:r w:rsidRPr="4CBB5BEB" w:rsidR="4CBB5BEB">
        <w:rPr>
          <w:rFonts w:ascii="Arial" w:hAnsi="Arial" w:eastAsia="Arial" w:cs="Arial"/>
          <w:sz w:val="22"/>
          <w:szCs w:val="22"/>
          <w:lang w:val="en-US"/>
        </w:rPr>
        <w:t>retained</w:t>
      </w:r>
      <w:r w:rsidRPr="4CBB5BEB" w:rsidR="4CBB5BEB">
        <w:rPr>
          <w:rFonts w:ascii="Arial" w:hAnsi="Arial" w:eastAsia="Arial" w:cs="Arial"/>
          <w:sz w:val="22"/>
          <w:szCs w:val="22"/>
          <w:lang w:val="en-US"/>
        </w:rPr>
        <w:t xml:space="preserve"> in their entirety, as fingerprint-level RFE on a ~300-row dataset would risk removing structurally informative but statistically rare bits. All features are then </w:t>
      </w:r>
      <w:r w:rsidRPr="4CBB5BEB" w:rsidR="4CBB5BEB">
        <w:rPr>
          <w:rFonts w:ascii="Arial" w:hAnsi="Arial" w:eastAsia="Arial" w:cs="Arial"/>
          <w:sz w:val="22"/>
          <w:szCs w:val="22"/>
          <w:lang w:val="en-US"/>
        </w:rPr>
        <w:t>standardised</w:t>
      </w:r>
      <w:r w:rsidRPr="4CBB5BEB" w:rsidR="4CBB5BEB">
        <w:rPr>
          <w:rFonts w:ascii="Arial" w:hAnsi="Arial" w:eastAsia="Arial" w:cs="Arial"/>
          <w:sz w:val="22"/>
          <w:szCs w:val="22"/>
          <w:lang w:val="en-US"/>
        </w:rPr>
        <w:t xml:space="preserve"> using </w:t>
      </w:r>
      <w:r w:rsidRPr="4CBB5BEB" w:rsidR="4CBB5BEB">
        <w:rPr>
          <w:rFonts w:ascii="Arial" w:hAnsi="Arial" w:eastAsia="Arial" w:cs="Arial"/>
          <w:i w:val="1"/>
          <w:iCs w:val="1"/>
          <w:sz w:val="22"/>
          <w:szCs w:val="22"/>
          <w:lang w:val="en-US"/>
        </w:rPr>
        <w:t>StandardScaler</w:t>
      </w:r>
      <w:r w:rsidRPr="4CBB5BEB" w:rsidR="4CBB5BEB">
        <w:rPr>
          <w:rFonts w:ascii="Arial" w:hAnsi="Arial" w:eastAsia="Arial" w:cs="Arial"/>
          <w:sz w:val="22"/>
          <w:szCs w:val="22"/>
          <w:lang w:val="en-US"/>
        </w:rPr>
        <w:t xml:space="preserve"> fitted on the training partition and applied identically to validation and LODO holdout sets.</w:t>
      </w:r>
    </w:p>
    <w:p xmlns:wp14="http://schemas.microsoft.com/office/word/2010/wordml" w14:paraId="0A8F8673" wp14:textId="77777777">
      <w:pPr>
        <w:pStyle w:val="Heading2"/>
        <w:spacing w:before="240" w:after="120"/>
      </w:pPr>
      <w:r>
        <w:rPr>
          <w:rFonts w:ascii="Arial" w:hAnsi="Arial" w:eastAsia="Arial" w:cs="Arial"/>
          <w:b/>
          <w:bCs/>
          <w:color w:val="2E5396"/>
          <w:sz w:val="24"/>
          <w:szCs w:val="24"/>
        </w:rPr>
        <w:t xml:space="preserve">2.3 Model Architecture</w:t>
      </w:r>
    </w:p>
    <w:p xmlns:wp14="http://schemas.microsoft.com/office/word/2010/wordml" w14:paraId="39C2DBAD" wp14:textId="77777777">
      <w:pPr>
        <w:spacing w:before="120" w:after="120"/>
        <w:jc w:val="both"/>
      </w:pPr>
      <w:r w:rsidRPr="4CBB5BEB" w:rsidR="4CBB5BEB">
        <w:rPr>
          <w:rFonts w:ascii="Arial" w:hAnsi="Arial" w:eastAsia="Arial" w:cs="Arial"/>
          <w:sz w:val="22"/>
          <w:szCs w:val="22"/>
          <w:lang w:val="en-US"/>
        </w:rPr>
        <w:t>The primary classifier is a Soft-Voting Ensemble (</w:t>
      </w:r>
      <w:r w:rsidRPr="4CBB5BEB" w:rsidR="4CBB5BEB">
        <w:rPr>
          <w:rFonts w:ascii="Arial" w:hAnsi="Arial" w:eastAsia="Arial" w:cs="Arial"/>
          <w:i w:val="1"/>
          <w:iCs w:val="1"/>
          <w:sz w:val="22"/>
          <w:szCs w:val="22"/>
          <w:lang w:val="en-US"/>
        </w:rPr>
        <w:t>sklearn.ensemble.VotingClassifier</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voting='soft'</w:t>
      </w:r>
      <w:r w:rsidRPr="4CBB5BEB" w:rsidR="4CBB5BEB">
        <w:rPr>
          <w:rFonts w:ascii="Arial" w:hAnsi="Arial" w:eastAsia="Arial" w:cs="Arial"/>
          <w:sz w:val="22"/>
          <w:szCs w:val="22"/>
          <w:lang w:val="en-US"/>
        </w:rPr>
        <w:t>) combining three base learners: (</w:t>
      </w:r>
      <w:r w:rsidRPr="4CBB5BEB" w:rsidR="4CBB5BEB">
        <w:rPr>
          <w:rFonts w:ascii="Arial" w:hAnsi="Arial" w:eastAsia="Arial" w:cs="Arial"/>
          <w:sz w:val="22"/>
          <w:szCs w:val="22"/>
          <w:lang w:val="en-US"/>
        </w:rPr>
        <w:t>i</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(weights = 2) with </w:t>
      </w:r>
      <w:r w:rsidRPr="4CBB5BEB" w:rsidR="4CBB5BEB">
        <w:rPr>
          <w:rFonts w:ascii="Arial" w:hAnsi="Arial" w:eastAsia="Arial" w:cs="Arial"/>
          <w:i w:val="1"/>
          <w:iCs w:val="1"/>
          <w:sz w:val="22"/>
          <w:szCs w:val="22"/>
          <w:lang w:val="en-US"/>
        </w:rPr>
        <w:t>n_estimators</w:t>
      </w:r>
      <w:r w:rsidRPr="4CBB5BEB" w:rsidR="4CBB5BEB">
        <w:rPr>
          <w:rFonts w:ascii="Arial" w:hAnsi="Arial" w:eastAsia="Arial" w:cs="Arial"/>
          <w:sz w:val="22"/>
          <w:szCs w:val="22"/>
          <w:lang w:val="en-US"/>
        </w:rPr>
        <w:t xml:space="preserve"> = 150, </w:t>
      </w:r>
      <w:r w:rsidRPr="4CBB5BEB" w:rsidR="4CBB5BEB">
        <w:rPr>
          <w:rFonts w:ascii="Arial" w:hAnsi="Arial" w:eastAsia="Arial" w:cs="Arial"/>
          <w:i w:val="1"/>
          <w:iCs w:val="1"/>
          <w:sz w:val="22"/>
          <w:szCs w:val="22"/>
          <w:lang w:val="en-US"/>
        </w:rPr>
        <w:t>max_depth</w:t>
      </w:r>
      <w:r w:rsidRPr="4CBB5BEB" w:rsidR="4CBB5BEB">
        <w:rPr>
          <w:rFonts w:ascii="Arial" w:hAnsi="Arial" w:eastAsia="Arial" w:cs="Arial"/>
          <w:sz w:val="22"/>
          <w:szCs w:val="22"/>
          <w:lang w:val="en-US"/>
        </w:rPr>
        <w:t xml:space="preserve"> = 3, L1 penalty </w:t>
      </w:r>
      <w:r w:rsidRPr="4CBB5BEB" w:rsidR="4CBB5BEB">
        <w:rPr>
          <w:rFonts w:ascii="Arial" w:hAnsi="Arial" w:eastAsia="Arial" w:cs="Arial"/>
          <w:i w:val="1"/>
          <w:iCs w:val="1"/>
          <w:sz w:val="22"/>
          <w:szCs w:val="22"/>
          <w:lang w:val="en-US"/>
        </w:rPr>
        <w:t>reg_alpha</w:t>
      </w:r>
      <w:r w:rsidRPr="4CBB5BEB" w:rsidR="4CBB5BEB">
        <w:rPr>
          <w:rFonts w:ascii="Arial" w:hAnsi="Arial" w:eastAsia="Arial" w:cs="Arial"/>
          <w:sz w:val="22"/>
          <w:szCs w:val="22"/>
          <w:lang w:val="en-US"/>
        </w:rPr>
        <w:t xml:space="preserve"> = 1.0, L2 penalty </w:t>
      </w:r>
      <w:r w:rsidRPr="4CBB5BEB" w:rsidR="4CBB5BEB">
        <w:rPr>
          <w:rFonts w:ascii="Arial" w:hAnsi="Arial" w:eastAsia="Arial" w:cs="Arial"/>
          <w:i w:val="1"/>
          <w:iCs w:val="1"/>
          <w:sz w:val="22"/>
          <w:szCs w:val="22"/>
          <w:lang w:val="en-US"/>
        </w:rPr>
        <w:t>reg_lambda</w:t>
      </w:r>
      <w:r w:rsidRPr="4CBB5BEB" w:rsidR="4CBB5BEB">
        <w:rPr>
          <w:rFonts w:ascii="Arial" w:hAnsi="Arial" w:eastAsia="Arial" w:cs="Arial"/>
          <w:sz w:val="22"/>
          <w:szCs w:val="22"/>
          <w:lang w:val="en-US"/>
        </w:rPr>
        <w:t xml:space="preserve"> = 3.0, </w:t>
      </w:r>
      <w:r w:rsidRPr="4CBB5BEB" w:rsidR="4CBB5BEB">
        <w:rPr>
          <w:rFonts w:ascii="Arial" w:hAnsi="Arial" w:eastAsia="Arial" w:cs="Arial"/>
          <w:i w:val="1"/>
          <w:iCs w:val="1"/>
          <w:sz w:val="22"/>
          <w:szCs w:val="22"/>
          <w:lang w:val="en-US"/>
        </w:rPr>
        <w:t>colsample_bytree</w:t>
      </w:r>
      <w:r w:rsidRPr="4CBB5BEB" w:rsidR="4CBB5BEB">
        <w:rPr>
          <w:rFonts w:ascii="Arial" w:hAnsi="Arial" w:eastAsia="Arial" w:cs="Arial"/>
          <w:sz w:val="22"/>
          <w:szCs w:val="22"/>
          <w:lang w:val="en-US"/>
        </w:rPr>
        <w:t xml:space="preserve"> = 0.4, and </w:t>
      </w:r>
      <w:r w:rsidRPr="4CBB5BEB" w:rsidR="4CBB5BEB">
        <w:rPr>
          <w:rFonts w:ascii="Arial" w:hAnsi="Arial" w:eastAsia="Arial" w:cs="Arial"/>
          <w:i w:val="1"/>
          <w:iCs w:val="1"/>
          <w:sz w:val="22"/>
          <w:szCs w:val="22"/>
          <w:lang w:val="en-US"/>
        </w:rPr>
        <w:t>min_child_weight</w:t>
      </w:r>
      <w:r w:rsidRPr="4CBB5BEB" w:rsidR="4CBB5BEB">
        <w:rPr>
          <w:rFonts w:ascii="Arial" w:hAnsi="Arial" w:eastAsia="Arial" w:cs="Arial"/>
          <w:sz w:val="22"/>
          <w:szCs w:val="22"/>
          <w:lang w:val="en-US"/>
        </w:rPr>
        <w:t xml:space="preserve"> = 7; (ii) Random Forest (weights = 2) with </w:t>
      </w:r>
      <w:r w:rsidRPr="4CBB5BEB" w:rsidR="4CBB5BEB">
        <w:rPr>
          <w:rFonts w:ascii="Arial" w:hAnsi="Arial" w:eastAsia="Arial" w:cs="Arial"/>
          <w:i w:val="1"/>
          <w:iCs w:val="1"/>
          <w:sz w:val="22"/>
          <w:szCs w:val="22"/>
          <w:lang w:val="en-US"/>
        </w:rPr>
        <w:t>n_estimators</w:t>
      </w:r>
      <w:r w:rsidRPr="4CBB5BEB" w:rsidR="4CBB5BEB">
        <w:rPr>
          <w:rFonts w:ascii="Arial" w:hAnsi="Arial" w:eastAsia="Arial" w:cs="Arial"/>
          <w:sz w:val="22"/>
          <w:szCs w:val="22"/>
          <w:lang w:val="en-US"/>
        </w:rPr>
        <w:t xml:space="preserve"> = 200, </w:t>
      </w:r>
      <w:r w:rsidRPr="4CBB5BEB" w:rsidR="4CBB5BEB">
        <w:rPr>
          <w:rFonts w:ascii="Arial" w:hAnsi="Arial" w:eastAsia="Arial" w:cs="Arial"/>
          <w:i w:val="1"/>
          <w:iCs w:val="1"/>
          <w:sz w:val="22"/>
          <w:szCs w:val="22"/>
          <w:lang w:val="en-US"/>
        </w:rPr>
        <w:t>max_depth</w:t>
      </w:r>
      <w:r w:rsidRPr="4CBB5BEB" w:rsidR="4CBB5BEB">
        <w:rPr>
          <w:rFonts w:ascii="Arial" w:hAnsi="Arial" w:eastAsia="Arial" w:cs="Arial"/>
          <w:sz w:val="22"/>
          <w:szCs w:val="22"/>
          <w:lang w:val="en-US"/>
        </w:rPr>
        <w:t xml:space="preserve"> = 4, and </w:t>
      </w:r>
      <w:r w:rsidRPr="4CBB5BEB" w:rsidR="4CBB5BEB">
        <w:rPr>
          <w:rFonts w:ascii="Arial" w:hAnsi="Arial" w:eastAsia="Arial" w:cs="Arial"/>
          <w:i w:val="1"/>
          <w:iCs w:val="1"/>
          <w:sz w:val="22"/>
          <w:szCs w:val="22"/>
          <w:lang w:val="en-US"/>
        </w:rPr>
        <w:t>min_samples_leaf</w:t>
      </w:r>
      <w:r w:rsidRPr="4CBB5BEB" w:rsidR="4CBB5BEB">
        <w:rPr>
          <w:rFonts w:ascii="Arial" w:hAnsi="Arial" w:eastAsia="Arial" w:cs="Arial"/>
          <w:sz w:val="22"/>
          <w:szCs w:val="22"/>
          <w:lang w:val="en-US"/>
        </w:rPr>
        <w:t xml:space="preserve"> = 5; and (iii) Gradient Boosting (weights = 1) with </w:t>
      </w:r>
      <w:r w:rsidRPr="4CBB5BEB" w:rsidR="4CBB5BEB">
        <w:rPr>
          <w:rFonts w:ascii="Arial" w:hAnsi="Arial" w:eastAsia="Arial" w:cs="Arial"/>
          <w:i w:val="1"/>
          <w:iCs w:val="1"/>
          <w:sz w:val="22"/>
          <w:szCs w:val="22"/>
          <w:lang w:val="en-US"/>
        </w:rPr>
        <w:t>max_depth</w:t>
      </w:r>
      <w:r w:rsidRPr="4CBB5BEB" w:rsidR="4CBB5BEB">
        <w:rPr>
          <w:rFonts w:ascii="Arial" w:hAnsi="Arial" w:eastAsia="Arial" w:cs="Arial"/>
          <w:sz w:val="22"/>
          <w:szCs w:val="22"/>
          <w:lang w:val="en-US"/>
        </w:rPr>
        <w:t xml:space="preserve"> = 2 and </w:t>
      </w:r>
      <w:r w:rsidRPr="4CBB5BEB" w:rsidR="4CBB5BEB">
        <w:rPr>
          <w:rFonts w:ascii="Arial" w:hAnsi="Arial" w:eastAsia="Arial" w:cs="Arial"/>
          <w:i w:val="1"/>
          <w:iCs w:val="1"/>
          <w:sz w:val="22"/>
          <w:szCs w:val="22"/>
          <w:lang w:val="en-US"/>
        </w:rPr>
        <w:t>learning_rate</w:t>
      </w:r>
      <w:r w:rsidRPr="4CBB5BEB" w:rsidR="4CBB5BEB">
        <w:rPr>
          <w:rFonts w:ascii="Arial" w:hAnsi="Arial" w:eastAsia="Arial" w:cs="Arial"/>
          <w:sz w:val="22"/>
          <w:szCs w:val="22"/>
          <w:lang w:val="en-US"/>
        </w:rPr>
        <w:t xml:space="preserve"> = 0.08. These hyperparameters were deliberately set to </w:t>
      </w:r>
      <w:r w:rsidRPr="4CBB5BEB" w:rsidR="4CBB5BEB">
        <w:rPr>
          <w:rFonts w:ascii="Arial" w:hAnsi="Arial" w:eastAsia="Arial" w:cs="Arial"/>
          <w:sz w:val="22"/>
          <w:szCs w:val="22"/>
          <w:lang w:val="en-US"/>
        </w:rPr>
        <w:t>prioritise</w:t>
      </w:r>
      <w:r w:rsidRPr="4CBB5BEB" w:rsidR="4CBB5BEB">
        <w:rPr>
          <w:rFonts w:ascii="Arial" w:hAnsi="Arial" w:eastAsia="Arial" w:cs="Arial"/>
          <w:sz w:val="22"/>
          <w:szCs w:val="22"/>
          <w:lang w:val="en-US"/>
        </w:rPr>
        <w:t xml:space="preserve"> </w:t>
      </w:r>
      <w:r w:rsidRPr="4CBB5BEB" w:rsidR="4CBB5BEB">
        <w:rPr>
          <w:rFonts w:ascii="Arial" w:hAnsi="Arial" w:eastAsia="Arial" w:cs="Arial"/>
          <w:sz w:val="22"/>
          <w:szCs w:val="22"/>
          <w:lang w:val="en-US"/>
        </w:rPr>
        <w:t>generalisation</w:t>
      </w:r>
      <w:r w:rsidRPr="4CBB5BEB" w:rsidR="4CBB5BEB">
        <w:rPr>
          <w:rFonts w:ascii="Arial" w:hAnsi="Arial" w:eastAsia="Arial" w:cs="Arial"/>
          <w:sz w:val="22"/>
          <w:szCs w:val="22"/>
          <w:lang w:val="en-US"/>
        </w:rPr>
        <w:t xml:space="preserve"> over training-set </w:t>
      </w:r>
      <w:r w:rsidRPr="4CBB5BEB" w:rsidR="4CBB5BEB">
        <w:rPr>
          <w:rFonts w:ascii="Arial" w:hAnsi="Arial" w:eastAsia="Arial" w:cs="Arial"/>
          <w:sz w:val="22"/>
          <w:szCs w:val="22"/>
          <w:lang w:val="en-US"/>
        </w:rPr>
        <w:t>memorisation</w:t>
      </w:r>
      <w:r w:rsidRPr="4CBB5BEB" w:rsidR="4CBB5BEB">
        <w:rPr>
          <w:rFonts w:ascii="Arial" w:hAnsi="Arial" w:eastAsia="Arial" w:cs="Arial"/>
          <w:sz w:val="22"/>
          <w:szCs w:val="22"/>
          <w:lang w:val="en-US"/>
        </w:rPr>
        <w:t xml:space="preserve">, reflecting the small sample size (~283 training pairs) </w:t>
      </w:r>
      <w:r w:rsidRPr="4CBB5BEB" w:rsidR="4CBB5BEB">
        <w:rPr>
          <w:rFonts w:ascii="Arial" w:hAnsi="Arial" w:eastAsia="Arial" w:cs="Arial"/>
          <w:sz w:val="22"/>
          <w:szCs w:val="22"/>
          <w:lang w:val="en-US"/>
        </w:rPr>
        <w:t>relative</w:t>
      </w:r>
      <w:r w:rsidRPr="4CBB5BEB" w:rsidR="4CBB5BEB">
        <w:rPr>
          <w:rFonts w:ascii="Arial" w:hAnsi="Arial" w:eastAsia="Arial" w:cs="Arial"/>
          <w:sz w:val="22"/>
          <w:szCs w:val="22"/>
          <w:lang w:val="en-US"/>
        </w:rPr>
        <w:t xml:space="preserve"> to feature dimensionality (~532). Strong L1/L2 </w:t>
      </w:r>
      <w:r w:rsidRPr="4CBB5BEB" w:rsidR="4CBB5BEB">
        <w:rPr>
          <w:rFonts w:ascii="Arial" w:hAnsi="Arial" w:eastAsia="Arial" w:cs="Arial"/>
          <w:sz w:val="22"/>
          <w:szCs w:val="22"/>
          <w:lang w:val="en-US"/>
        </w:rPr>
        <w:t>regularisation</w:t>
      </w:r>
      <w:r w:rsidRPr="4CBB5BEB" w:rsidR="4CBB5BEB">
        <w:rPr>
          <w:rFonts w:ascii="Arial" w:hAnsi="Arial" w:eastAsia="Arial" w:cs="Arial"/>
          <w:sz w:val="22"/>
          <w:szCs w:val="22"/>
          <w:lang w:val="en-US"/>
        </w:rPr>
        <w:t xml:space="preserve"> in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forces sparsity in the feature importance distribution, preventing the model from anchoring on noise-level Morgan bit positions. The final class probability for each sample is the weighted average of the </w:t>
      </w:r>
      <w:r w:rsidRPr="4CBB5BEB" w:rsidR="4CBB5BEB">
        <w:rPr>
          <w:rFonts w:ascii="Arial" w:hAnsi="Arial" w:eastAsia="Arial" w:cs="Arial"/>
          <w:sz w:val="22"/>
          <w:szCs w:val="22"/>
          <w:lang w:val="en-US"/>
        </w:rPr>
        <w:t>three base</w:t>
      </w:r>
      <w:r w:rsidRPr="4CBB5BEB" w:rsidR="4CBB5BEB">
        <w:rPr>
          <w:rFonts w:ascii="Arial" w:hAnsi="Arial" w:eastAsia="Arial" w:cs="Arial"/>
          <w:sz w:val="22"/>
          <w:szCs w:val="22"/>
          <w:lang w:val="en-US"/>
        </w:rPr>
        <w:t xml:space="preserve"> learner </w:t>
      </w:r>
      <w:r w:rsidRPr="4CBB5BEB" w:rsidR="4CBB5BEB">
        <w:rPr>
          <w:rFonts w:ascii="Arial" w:hAnsi="Arial" w:eastAsia="Arial" w:cs="Arial"/>
          <w:sz w:val="22"/>
          <w:szCs w:val="22"/>
          <w:lang w:val="en-US"/>
        </w:rPr>
        <w:t>softmax</w:t>
      </w:r>
      <w:r w:rsidRPr="4CBB5BEB" w:rsidR="4CBB5BEB">
        <w:rPr>
          <w:rFonts w:ascii="Arial" w:hAnsi="Arial" w:eastAsia="Arial" w:cs="Arial"/>
          <w:sz w:val="22"/>
          <w:szCs w:val="22"/>
          <w:lang w:val="en-US"/>
        </w:rPr>
        <w:t xml:space="preserve"> outputs, with the highest-probability class assigned as the prediction. A parallel </w:t>
      </w:r>
      <w:r w:rsidRPr="4CBB5BEB" w:rsidR="4CBB5BEB">
        <w:rPr>
          <w:rFonts w:ascii="Arial" w:hAnsi="Arial" w:eastAsia="Arial" w:cs="Arial"/>
          <w:sz w:val="22"/>
          <w:szCs w:val="22"/>
          <w:lang w:val="en-US"/>
        </w:rPr>
        <w:t>LightGBM</w:t>
      </w:r>
      <w:r w:rsidRPr="4CBB5BEB" w:rsidR="4CBB5BEB">
        <w:rPr>
          <w:rFonts w:ascii="Arial" w:hAnsi="Arial" w:eastAsia="Arial" w:cs="Arial"/>
          <w:sz w:val="22"/>
          <w:szCs w:val="22"/>
          <w:lang w:val="en-US"/>
        </w:rPr>
        <w:t xml:space="preserve"> regressor (</w:t>
      </w:r>
      <w:r w:rsidRPr="4CBB5BEB" w:rsidR="4CBB5BEB">
        <w:rPr>
          <w:rFonts w:ascii="Arial" w:hAnsi="Arial" w:eastAsia="Arial" w:cs="Arial"/>
          <w:i w:val="1"/>
          <w:iCs w:val="1"/>
          <w:sz w:val="22"/>
          <w:szCs w:val="22"/>
          <w:lang w:val="en-US"/>
        </w:rPr>
        <w:t>LGBMRegressor</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max_depth</w:t>
      </w:r>
      <w:r w:rsidRPr="4CBB5BEB" w:rsidR="4CBB5BEB">
        <w:rPr>
          <w:rFonts w:ascii="Arial" w:hAnsi="Arial" w:eastAsia="Arial" w:cs="Arial"/>
          <w:sz w:val="22"/>
          <w:szCs w:val="22"/>
          <w:lang w:val="en-US"/>
        </w:rPr>
        <w:t xml:space="preserve"> = 5, </w:t>
      </w:r>
      <w:r w:rsidRPr="4CBB5BEB" w:rsidR="4CBB5BEB">
        <w:rPr>
          <w:rFonts w:ascii="Arial" w:hAnsi="Arial" w:eastAsia="Arial" w:cs="Arial"/>
          <w:i w:val="1"/>
          <w:iCs w:val="1"/>
          <w:sz w:val="22"/>
          <w:szCs w:val="22"/>
          <w:lang w:val="en-US"/>
        </w:rPr>
        <w:t>lambda_l1</w:t>
      </w:r>
      <w:r w:rsidRPr="4CBB5BEB" w:rsidR="4CBB5BEB">
        <w:rPr>
          <w:rFonts w:ascii="Arial" w:hAnsi="Arial" w:eastAsia="Arial" w:cs="Arial"/>
          <w:sz w:val="22"/>
          <w:szCs w:val="22"/>
          <w:lang w:val="en-US"/>
        </w:rPr>
        <w:t xml:space="preserve"> = 0.3, </w:t>
      </w:r>
      <w:r w:rsidRPr="4CBB5BEB" w:rsidR="4CBB5BEB">
        <w:rPr>
          <w:rFonts w:ascii="Arial" w:hAnsi="Arial" w:eastAsia="Arial" w:cs="Arial"/>
          <w:i w:val="1"/>
          <w:iCs w:val="1"/>
          <w:sz w:val="22"/>
          <w:szCs w:val="22"/>
          <w:lang w:val="en-US"/>
        </w:rPr>
        <w:t>lambda_l2</w:t>
      </w:r>
      <w:r w:rsidRPr="4CBB5BEB" w:rsidR="4CBB5BEB">
        <w:rPr>
          <w:rFonts w:ascii="Arial" w:hAnsi="Arial" w:eastAsia="Arial" w:cs="Arial"/>
          <w:sz w:val="22"/>
          <w:szCs w:val="22"/>
          <w:lang w:val="en-US"/>
        </w:rPr>
        <w:t xml:space="preserve"> = 0.5) provides a secondary regression head predicting percentage bioavailability change (</w:t>
      </w:r>
      <w:r w:rsidRPr="4CBB5BEB" w:rsidR="4CBB5BEB">
        <w:rPr>
          <w:rFonts w:ascii="Arial" w:hAnsi="Arial" w:eastAsia="Arial" w:cs="Arial"/>
          <w:i w:val="1"/>
          <w:iCs w:val="1"/>
          <w:sz w:val="22"/>
          <w:szCs w:val="22"/>
          <w:lang w:val="en-US"/>
        </w:rPr>
        <w:t>pct_change</w:t>
      </w:r>
      <w:r w:rsidRPr="4CBB5BEB" w:rsidR="4CBB5BEB">
        <w:rPr>
          <w:rFonts w:ascii="Arial" w:hAnsi="Arial" w:eastAsia="Arial" w:cs="Arial"/>
          <w:sz w:val="22"/>
          <w:szCs w:val="22"/>
          <w:lang w:val="en-US"/>
        </w:rPr>
        <w:t>), offering continuous severity quantification alongside the categorical risk label.</w:t>
      </w:r>
    </w:p>
    <w:p xmlns:wp14="http://schemas.microsoft.com/office/word/2010/wordml" w14:paraId="382C6E1A" wp14:textId="77777777">
      <w:pPr>
        <w:pStyle w:val="Heading2"/>
        <w:spacing w:before="240" w:after="120"/>
      </w:pPr>
      <w:r>
        <w:rPr>
          <w:rFonts w:ascii="Arial" w:hAnsi="Arial" w:eastAsia="Arial" w:cs="Arial"/>
          <w:b/>
          <w:bCs/>
          <w:color w:val="2E5396"/>
          <w:sz w:val="24"/>
          <w:szCs w:val="24"/>
        </w:rPr>
        <w:t xml:space="preserve">2.4 XAI Integration via SHAP</w:t>
      </w:r>
    </w:p>
    <w:p xmlns:wp14="http://schemas.microsoft.com/office/word/2010/wordml" w14:paraId="3F76E511" wp14:textId="77777777">
      <w:pPr>
        <w:spacing w:before="120" w:after="120"/>
        <w:jc w:val="both"/>
      </w:pPr>
      <w:r w:rsidRPr="4CBB5BEB" w:rsidR="4CBB5BEB">
        <w:rPr>
          <w:rFonts w:ascii="Arial" w:hAnsi="Arial" w:eastAsia="Arial" w:cs="Arial"/>
          <w:sz w:val="22"/>
          <w:szCs w:val="22"/>
          <w:lang w:val="en-US"/>
        </w:rPr>
        <w:t xml:space="preserve">Model transparency is implemented through SHAP </w:t>
      </w:r>
      <w:r w:rsidRPr="4CBB5BEB" w:rsidR="4CBB5BEB">
        <w:rPr>
          <w:rFonts w:ascii="Arial" w:hAnsi="Arial" w:eastAsia="Arial" w:cs="Arial"/>
          <w:sz w:val="22"/>
          <w:szCs w:val="22"/>
          <w:lang w:val="en-US"/>
        </w:rPr>
        <w:t>TreeExplainer</w:t>
      </w:r>
      <w:r w:rsidRPr="4CBB5BEB" w:rsidR="4CBB5BEB">
        <w:rPr>
          <w:rFonts w:ascii="Arial" w:hAnsi="Arial" w:eastAsia="Arial" w:cs="Arial"/>
          <w:sz w:val="22"/>
          <w:szCs w:val="22"/>
          <w:lang w:val="en-US"/>
        </w:rPr>
        <w:t xml:space="preserve"> analysis on the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sub-estimator of the Voting Classifier. SHAP (</w:t>
      </w:r>
      <w:r w:rsidRPr="4CBB5BEB" w:rsidR="4CBB5BEB">
        <w:rPr>
          <w:rFonts w:ascii="Arial" w:hAnsi="Arial" w:eastAsia="Arial" w:cs="Arial"/>
          <w:sz w:val="22"/>
          <w:szCs w:val="22"/>
          <w:lang w:val="en-US"/>
        </w:rPr>
        <w:t>SHapley</w:t>
      </w:r>
      <w:r w:rsidRPr="4CBB5BEB" w:rsidR="4CBB5BEB">
        <w:rPr>
          <w:rFonts w:ascii="Arial" w:hAnsi="Arial" w:eastAsia="Arial" w:cs="Arial"/>
          <w:sz w:val="22"/>
          <w:szCs w:val="22"/>
          <w:lang w:val="en-US"/>
        </w:rPr>
        <w:t xml:space="preserve"> Additive </w:t>
      </w:r>
      <w:r w:rsidRPr="4CBB5BEB" w:rsidR="4CBB5BEB">
        <w:rPr>
          <w:rFonts w:ascii="Arial" w:hAnsi="Arial" w:eastAsia="Arial" w:cs="Arial"/>
          <w:sz w:val="22"/>
          <w:szCs w:val="22"/>
          <w:lang w:val="en-US"/>
        </w:rPr>
        <w:t>exPlanations</w:t>
      </w:r>
      <w:r w:rsidRPr="4CBB5BEB" w:rsidR="4CBB5BEB">
        <w:rPr>
          <w:rFonts w:ascii="Arial" w:hAnsi="Arial" w:eastAsia="Arial" w:cs="Arial"/>
          <w:sz w:val="22"/>
          <w:szCs w:val="22"/>
          <w:lang w:val="en-US"/>
        </w:rPr>
        <w:t xml:space="preserve">) assigns each feature a contribution value </w:t>
      </w:r>
      <w:r w:rsidRPr="4CBB5BEB" w:rsidR="4CBB5BEB">
        <w:rPr>
          <w:rFonts w:ascii="Arial" w:hAnsi="Arial" w:eastAsia="Arial" w:cs="Arial"/>
          <w:sz w:val="22"/>
          <w:szCs w:val="22"/>
          <w:lang w:val="en-US"/>
        </w:rPr>
        <w:t>φ</w:t>
      </w:r>
      <w:r w:rsidRPr="4CBB5BEB" w:rsidR="4CBB5BEB">
        <w:rPr>
          <w:rFonts w:ascii="Arial" w:hAnsi="Arial" w:eastAsia="Arial" w:cs="Arial"/>
          <w:i w:val="1"/>
          <w:iCs w:val="1"/>
          <w:sz w:val="22"/>
          <w:szCs w:val="22"/>
          <w:lang w:val="en-US"/>
        </w:rPr>
        <w:t>i</w:t>
      </w:r>
      <w:r w:rsidRPr="4CBB5BEB" w:rsidR="4CBB5BEB">
        <w:rPr>
          <w:rFonts w:ascii="Arial" w:hAnsi="Arial" w:eastAsia="Arial" w:cs="Arial"/>
          <w:sz w:val="22"/>
          <w:szCs w:val="22"/>
          <w:lang w:val="en-US"/>
        </w:rPr>
        <w:t xml:space="preserve"> such that the sum of all contributions equals the difference between the model output and the expected model output:</w:t>
      </w:r>
    </w:p>
    <w:p xmlns:wp14="http://schemas.microsoft.com/office/word/2010/wordml" w14:paraId="07A64F33" wp14:textId="77777777">
      <w:pPr>
        <w:spacing w:before="160" w:after="160"/>
        <w:jc w:val="center"/>
      </w:pPr>
      <w:r>
        <w:rPr>
          <w:rFonts w:ascii="Courier New" w:hAnsi="Courier New" w:eastAsia="Courier New" w:cs="Courier New"/>
          <w:b/>
          <w:bCs/>
          <w:sz w:val="22"/>
          <w:szCs w:val="22"/>
        </w:rPr>
        <w:t xml:space="preserve">f(x) = E[f(X)] + Σᵢ φᵢ(x)</w:t>
      </w:r>
    </w:p>
    <w:p xmlns:wp14="http://schemas.microsoft.com/office/word/2010/wordml" w14:paraId="5891CF9D" wp14:textId="77777777">
      <w:pPr>
        <w:spacing w:before="120" w:after="120"/>
        <w:jc w:val="both"/>
      </w:pPr>
      <w:r w:rsidRPr="4CBB5BEB" w:rsidR="4CBB5BEB">
        <w:rPr>
          <w:rFonts w:ascii="Arial" w:hAnsi="Arial" w:eastAsia="Arial" w:cs="Arial"/>
          <w:sz w:val="22"/>
          <w:szCs w:val="22"/>
          <w:lang w:val="en-US"/>
        </w:rPr>
        <w:t xml:space="preserve">For multiclass prediction, SHAP values are computed per class; the </w:t>
      </w:r>
      <w:r w:rsidRPr="4CBB5BEB" w:rsidR="4CBB5BEB">
        <w:rPr>
          <w:rFonts w:ascii="Arial" w:hAnsi="Arial" w:eastAsia="Arial" w:cs="Arial"/>
          <w:i w:val="1"/>
          <w:iCs w:val="1"/>
          <w:sz w:val="22"/>
          <w:szCs w:val="22"/>
          <w:lang w:val="en-US"/>
        </w:rPr>
        <w:t>shap_analysis</w:t>
      </w:r>
      <w:r w:rsidRPr="4CBB5BEB" w:rsidR="4CBB5BEB">
        <w:rPr>
          <w:rFonts w:ascii="Arial" w:hAnsi="Arial" w:eastAsia="Arial" w:cs="Arial"/>
          <w:i w:val="1"/>
          <w:iCs w:val="1"/>
          <w:sz w:val="22"/>
          <w:szCs w:val="22"/>
          <w:lang w:val="en-US"/>
        </w:rPr>
        <w:t>()</w:t>
      </w:r>
      <w:r w:rsidRPr="4CBB5BEB" w:rsidR="4CBB5BEB">
        <w:rPr>
          <w:rFonts w:ascii="Arial" w:hAnsi="Arial" w:eastAsia="Arial" w:cs="Arial"/>
          <w:sz w:val="22"/>
          <w:szCs w:val="22"/>
          <w:lang w:val="en-US"/>
        </w:rPr>
        <w:t xml:space="preserve"> function specifically interrogates the </w:t>
      </w:r>
      <w:r w:rsidRPr="4CBB5BEB" w:rsidR="4CBB5BEB">
        <w:rPr>
          <w:rFonts w:ascii="Arial" w:hAnsi="Arial" w:eastAsia="Arial" w:cs="Arial"/>
          <w:i w:val="1"/>
          <w:iCs w:val="1"/>
          <w:sz w:val="22"/>
          <w:szCs w:val="22"/>
          <w:lang w:val="en-US"/>
        </w:rPr>
        <w:t>Critical</w:t>
      </w:r>
      <w:r w:rsidRPr="4CBB5BEB" w:rsidR="4CBB5BEB">
        <w:rPr>
          <w:rFonts w:ascii="Arial" w:hAnsi="Arial" w:eastAsia="Arial" w:cs="Arial"/>
          <w:sz w:val="22"/>
          <w:szCs w:val="22"/>
          <w:lang w:val="en-US"/>
        </w:rPr>
        <w:t xml:space="preserve"> interaction class (index 2) as the clinically most consequential output. Two </w:t>
      </w:r>
      <w:r w:rsidRPr="4CBB5BEB" w:rsidR="4CBB5BEB">
        <w:rPr>
          <w:rFonts w:ascii="Arial" w:hAnsi="Arial" w:eastAsia="Arial" w:cs="Arial"/>
          <w:sz w:val="22"/>
          <w:szCs w:val="22"/>
          <w:lang w:val="en-US"/>
        </w:rPr>
        <w:t>visualisation</w:t>
      </w:r>
      <w:r w:rsidRPr="4CBB5BEB" w:rsidR="4CBB5BEB">
        <w:rPr>
          <w:rFonts w:ascii="Arial" w:hAnsi="Arial" w:eastAsia="Arial" w:cs="Arial"/>
          <w:sz w:val="22"/>
          <w:szCs w:val="22"/>
          <w:lang w:val="en-US"/>
        </w:rPr>
        <w:t xml:space="preserve"> outputs are generated: (</w:t>
      </w:r>
      <w:r w:rsidRPr="4CBB5BEB" w:rsidR="4CBB5BEB">
        <w:rPr>
          <w:rFonts w:ascii="Arial" w:hAnsi="Arial" w:eastAsia="Arial" w:cs="Arial"/>
          <w:sz w:val="22"/>
          <w:szCs w:val="22"/>
          <w:lang w:val="en-US"/>
        </w:rPr>
        <w:t>i</w:t>
      </w:r>
      <w:r w:rsidRPr="4CBB5BEB" w:rsidR="4CBB5BEB">
        <w:rPr>
          <w:rFonts w:ascii="Arial" w:hAnsi="Arial" w:eastAsia="Arial" w:cs="Arial"/>
          <w:sz w:val="22"/>
          <w:szCs w:val="22"/>
          <w:lang w:val="en-US"/>
        </w:rPr>
        <w:t xml:space="preserve">) a </w:t>
      </w:r>
      <w:r w:rsidRPr="4CBB5BEB" w:rsidR="4CBB5BEB">
        <w:rPr>
          <w:rFonts w:ascii="Arial" w:hAnsi="Arial" w:eastAsia="Arial" w:cs="Arial"/>
          <w:sz w:val="22"/>
          <w:szCs w:val="22"/>
          <w:lang w:val="en-US"/>
        </w:rPr>
        <w:t>beeswarm</w:t>
      </w:r>
      <w:r w:rsidRPr="4CBB5BEB" w:rsidR="4CBB5BEB">
        <w:rPr>
          <w:rFonts w:ascii="Arial" w:hAnsi="Arial" w:eastAsia="Arial" w:cs="Arial"/>
          <w:sz w:val="22"/>
          <w:szCs w:val="22"/>
          <w:lang w:val="en-US"/>
        </w:rPr>
        <w:t xml:space="preserve"> summary plot showing the distribution of SHAP values across all training samples for the top 20 features, and (ii) a mean absolute SHAP bar chart </w:t>
      </w:r>
      <w:r w:rsidRPr="4CBB5BEB" w:rsidR="4CBB5BEB">
        <w:rPr>
          <w:rFonts w:ascii="Arial" w:hAnsi="Arial" w:eastAsia="Arial" w:cs="Arial"/>
          <w:sz w:val="22"/>
          <w:szCs w:val="22"/>
          <w:lang w:val="en-US"/>
        </w:rPr>
        <w:t>identifying</w:t>
      </w:r>
      <w:r w:rsidRPr="4CBB5BEB" w:rsidR="4CBB5BEB">
        <w:rPr>
          <w:rFonts w:ascii="Arial" w:hAnsi="Arial" w:eastAsia="Arial" w:cs="Arial"/>
          <w:sz w:val="22"/>
          <w:szCs w:val="22"/>
          <w:lang w:val="en-US"/>
        </w:rPr>
        <w:t xml:space="preserve"> global feature importances. These outputs directly address the </w:t>
      </w:r>
      <w:r w:rsidRPr="4CBB5BEB" w:rsidR="4CBB5BEB">
        <w:rPr>
          <w:rFonts w:ascii="Arial" w:hAnsi="Arial" w:eastAsia="Arial" w:cs="Arial"/>
          <w:i w:val="1"/>
          <w:iCs w:val="1"/>
          <w:sz w:val="22"/>
          <w:szCs w:val="22"/>
          <w:lang w:val="en-US"/>
        </w:rPr>
        <w:t>black-box</w:t>
      </w:r>
      <w:r w:rsidRPr="4CBB5BEB" w:rsidR="4CBB5BEB">
        <w:rPr>
          <w:rFonts w:ascii="Arial" w:hAnsi="Arial" w:eastAsia="Arial" w:cs="Arial"/>
          <w:sz w:val="22"/>
          <w:szCs w:val="22"/>
          <w:lang w:val="en-US"/>
        </w:rPr>
        <w:t xml:space="preserve"> limitation of ensemble methods and allow clinicians to understand which molecular sub-structures (e.g., specific Morgan fingerprint bit positions corresponding to </w:t>
      </w:r>
      <w:r w:rsidRPr="4CBB5BEB" w:rsidR="4CBB5BEB">
        <w:rPr>
          <w:rFonts w:ascii="Arial" w:hAnsi="Arial" w:eastAsia="Arial" w:cs="Arial"/>
          <w:sz w:val="22"/>
          <w:szCs w:val="22"/>
          <w:lang w:val="en-US"/>
        </w:rPr>
        <w:t>furanyl</w:t>
      </w:r>
      <w:r w:rsidRPr="4CBB5BEB" w:rsidR="4CBB5BEB">
        <w:rPr>
          <w:rFonts w:ascii="Arial" w:hAnsi="Arial" w:eastAsia="Arial" w:cs="Arial"/>
          <w:sz w:val="22"/>
          <w:szCs w:val="22"/>
          <w:lang w:val="en-US"/>
        </w:rPr>
        <w:t xml:space="preserve"> or piperidyl rings) and physicochemical properties (e.g., high TPSA, low </w:t>
      </w:r>
      <w:r w:rsidRPr="4CBB5BEB" w:rsidR="4CBB5BEB">
        <w:rPr>
          <w:rFonts w:ascii="Arial" w:hAnsi="Arial" w:eastAsia="Arial" w:cs="Arial"/>
          <w:sz w:val="22"/>
          <w:szCs w:val="22"/>
          <w:lang w:val="en-US"/>
        </w:rPr>
        <w:t>LogP</w:t>
      </w:r>
      <w:r w:rsidRPr="4CBB5BEB" w:rsidR="4CBB5BEB">
        <w:rPr>
          <w:rFonts w:ascii="Arial" w:hAnsi="Arial" w:eastAsia="Arial" w:cs="Arial"/>
          <w:sz w:val="22"/>
          <w:szCs w:val="22"/>
          <w:lang w:val="en-US"/>
        </w:rPr>
        <w:t>) drive critical interaction predictions. An overfitting detection report comparing train, validation, and LODO accuracy/F1/AUC gap (threshold: &gt;15%) is also generated programmatically.</w:t>
      </w:r>
    </w:p>
    <w:p xmlns:wp14="http://schemas.microsoft.com/office/word/2010/wordml" w14:paraId="66D94623" wp14:textId="77777777">
      <w:pPr>
        <w:pStyle w:val="Heading2"/>
        <w:spacing w:before="240" w:after="120"/>
      </w:pPr>
      <w:r>
        <w:rPr>
          <w:rFonts w:ascii="Arial" w:hAnsi="Arial" w:eastAsia="Arial" w:cs="Arial"/>
          <w:b/>
          <w:bCs/>
          <w:color w:val="2E5396"/>
          <w:sz w:val="24"/>
          <w:szCs w:val="24"/>
        </w:rPr>
        <w:t xml:space="preserve">2.5 User Interface Design</w:t>
      </w:r>
    </w:p>
    <w:p xmlns:wp14="http://schemas.microsoft.com/office/word/2010/wordml" w14:paraId="27027BE0" wp14:textId="77777777">
      <w:pPr>
        <w:spacing w:before="120" w:after="120"/>
        <w:jc w:val="both"/>
      </w:pPr>
      <w:r w:rsidRPr="4CBB5BEB" w:rsidR="4CBB5BEB">
        <w:rPr>
          <w:rFonts w:ascii="Arial" w:hAnsi="Arial" w:eastAsia="Arial" w:cs="Arial"/>
          <w:sz w:val="22"/>
          <w:szCs w:val="22"/>
          <w:lang w:val="en-US"/>
        </w:rPr>
        <w:t xml:space="preserve">A </w:t>
      </w:r>
      <w:r w:rsidRPr="4CBB5BEB" w:rsidR="4CBB5BEB">
        <w:rPr>
          <w:rFonts w:ascii="Arial" w:hAnsi="Arial" w:eastAsia="Arial" w:cs="Arial"/>
          <w:sz w:val="22"/>
          <w:szCs w:val="22"/>
          <w:lang w:val="en-US"/>
        </w:rPr>
        <w:t>Streamlit</w:t>
      </w:r>
      <w:r w:rsidRPr="4CBB5BEB" w:rsidR="4CBB5BEB">
        <w:rPr>
          <w:rFonts w:ascii="Arial" w:hAnsi="Arial" w:eastAsia="Arial" w:cs="Arial"/>
          <w:sz w:val="22"/>
          <w:szCs w:val="22"/>
          <w:lang w:val="en-US"/>
        </w:rPr>
        <w:t>-based web application (</w:t>
      </w:r>
      <w:r w:rsidRPr="4CBB5BEB" w:rsidR="4CBB5BEB">
        <w:rPr>
          <w:rFonts w:ascii="Arial" w:hAnsi="Arial" w:eastAsia="Arial" w:cs="Arial"/>
          <w:i w:val="1"/>
          <w:iCs w:val="1"/>
          <w:sz w:val="22"/>
          <w:szCs w:val="22"/>
          <w:lang w:val="en-US"/>
        </w:rPr>
        <w:t>app.py</w:t>
      </w:r>
      <w:r w:rsidRPr="4CBB5BEB" w:rsidR="4CBB5BEB">
        <w:rPr>
          <w:rFonts w:ascii="Arial" w:hAnsi="Arial" w:eastAsia="Arial" w:cs="Arial"/>
          <w:sz w:val="22"/>
          <w:szCs w:val="22"/>
          <w:lang w:val="en-US"/>
        </w:rPr>
        <w:t xml:space="preserve">) provides real-time DFI prediction accessible to clinicians and researchers without requiring programmatic </w:t>
      </w:r>
      <w:r w:rsidRPr="4CBB5BEB" w:rsidR="4CBB5BEB">
        <w:rPr>
          <w:rFonts w:ascii="Arial" w:hAnsi="Arial" w:eastAsia="Arial" w:cs="Arial"/>
          <w:sz w:val="22"/>
          <w:szCs w:val="22"/>
          <w:lang w:val="en-US"/>
        </w:rPr>
        <w:t>expertise</w:t>
      </w:r>
      <w:r w:rsidRPr="4CBB5BEB" w:rsidR="4CBB5BEB">
        <w:rPr>
          <w:rFonts w:ascii="Arial" w:hAnsi="Arial" w:eastAsia="Arial" w:cs="Arial"/>
          <w:sz w:val="22"/>
          <w:szCs w:val="22"/>
          <w:lang w:val="en-US"/>
        </w:rPr>
        <w:t xml:space="preserve">. The interface accepts </w:t>
      </w:r>
      <w:r w:rsidRPr="4CBB5BEB" w:rsidR="4CBB5BEB">
        <w:rPr>
          <w:rFonts w:ascii="Arial" w:hAnsi="Arial" w:eastAsia="Arial" w:cs="Arial"/>
          <w:sz w:val="22"/>
          <w:szCs w:val="22"/>
          <w:lang w:val="en-US"/>
        </w:rPr>
        <w:t>freetext</w:t>
      </w:r>
      <w:r w:rsidRPr="4CBB5BEB" w:rsidR="4CBB5BEB">
        <w:rPr>
          <w:rFonts w:ascii="Arial" w:hAnsi="Arial" w:eastAsia="Arial" w:cs="Arial"/>
          <w:sz w:val="22"/>
          <w:szCs w:val="22"/>
          <w:lang w:val="en-US"/>
        </w:rPr>
        <w:t xml:space="preserve"> drug and food names, invokes the </w:t>
      </w:r>
      <w:r w:rsidRPr="4CBB5BEB" w:rsidR="4CBB5BEB">
        <w:rPr>
          <w:rFonts w:ascii="Arial" w:hAnsi="Arial" w:eastAsia="Arial" w:cs="Arial"/>
          <w:i w:val="1"/>
          <w:iCs w:val="1"/>
          <w:sz w:val="22"/>
          <w:szCs w:val="22"/>
          <w:lang w:val="en-US"/>
        </w:rPr>
        <w:t>preprocess_input</w:t>
      </w:r>
      <w:r w:rsidRPr="4CBB5BEB" w:rsidR="4CBB5BEB">
        <w:rPr>
          <w:rFonts w:ascii="Arial" w:hAnsi="Arial" w:eastAsia="Arial" w:cs="Arial"/>
          <w:i w:val="1"/>
          <w:iCs w:val="1"/>
          <w:sz w:val="22"/>
          <w:szCs w:val="22"/>
          <w:lang w:val="en-US"/>
        </w:rPr>
        <w:t>()</w:t>
      </w:r>
      <w:r w:rsidRPr="4CBB5BEB" w:rsidR="4CBB5BEB">
        <w:rPr>
          <w:rFonts w:ascii="Arial" w:hAnsi="Arial" w:eastAsia="Arial" w:cs="Arial"/>
          <w:sz w:val="22"/>
          <w:szCs w:val="22"/>
          <w:lang w:val="en-US"/>
        </w:rPr>
        <w:t xml:space="preserve"> function to construct the feature vector, and routes the input through the trained ensemble classifier. The </w:t>
      </w:r>
      <w:r w:rsidRPr="4CBB5BEB" w:rsidR="4CBB5BEB">
        <w:rPr>
          <w:rFonts w:ascii="Arial" w:hAnsi="Arial" w:eastAsia="Arial" w:cs="Arial"/>
          <w:i w:val="1"/>
          <w:iCs w:val="1"/>
          <w:sz w:val="22"/>
          <w:szCs w:val="22"/>
          <w:lang w:val="en-US"/>
        </w:rPr>
        <w:t>fetch_actual_interaction</w:t>
      </w:r>
      <w:r w:rsidRPr="4CBB5BEB" w:rsidR="4CBB5BEB">
        <w:rPr>
          <w:rFonts w:ascii="Arial" w:hAnsi="Arial" w:eastAsia="Arial" w:cs="Arial"/>
          <w:i w:val="1"/>
          <w:iCs w:val="1"/>
          <w:sz w:val="22"/>
          <w:szCs w:val="22"/>
          <w:lang w:val="en-US"/>
        </w:rPr>
        <w:t>()</w:t>
      </w:r>
      <w:r w:rsidRPr="4CBB5BEB" w:rsidR="4CBB5BEB">
        <w:rPr>
          <w:rFonts w:ascii="Arial" w:hAnsi="Arial" w:eastAsia="Arial" w:cs="Arial"/>
          <w:sz w:val="22"/>
          <w:szCs w:val="22"/>
          <w:lang w:val="en-US"/>
        </w:rPr>
        <w:t xml:space="preserve"> function performs a dual-source ground truth lookup: it first searches the local </w:t>
      </w:r>
      <w:r w:rsidRPr="4CBB5BEB" w:rsidR="4CBB5BEB">
        <w:rPr>
          <w:rFonts w:ascii="Arial" w:hAnsi="Arial" w:eastAsia="Arial" w:cs="Arial"/>
          <w:i w:val="1"/>
          <w:iCs w:val="1"/>
          <w:sz w:val="22"/>
          <w:szCs w:val="22"/>
          <w:lang w:val="en-US"/>
        </w:rPr>
        <w:t>clinical_interaction_real.csv</w:t>
      </w:r>
      <w:r w:rsidRPr="4CBB5BEB" w:rsidR="4CBB5BEB">
        <w:rPr>
          <w:rFonts w:ascii="Arial" w:hAnsi="Arial" w:eastAsia="Arial" w:cs="Arial"/>
          <w:sz w:val="22"/>
          <w:szCs w:val="22"/>
          <w:lang w:val="en-US"/>
        </w:rPr>
        <w:t xml:space="preserve"> for an exact string match; if no match is found, it dynamically queries the </w:t>
      </w:r>
      <w:r w:rsidRPr="4CBB5BEB" w:rsidR="4CBB5BEB">
        <w:rPr>
          <w:rFonts w:ascii="Arial" w:hAnsi="Arial" w:eastAsia="Arial" w:cs="Arial"/>
          <w:sz w:val="22"/>
          <w:szCs w:val="22"/>
          <w:lang w:val="en-US"/>
        </w:rPr>
        <w:t>OpenFDA</w:t>
      </w:r>
      <w:r w:rsidRPr="4CBB5BEB" w:rsidR="4CBB5BEB">
        <w:rPr>
          <w:rFonts w:ascii="Arial" w:hAnsi="Arial" w:eastAsia="Arial" w:cs="Arial"/>
          <w:sz w:val="22"/>
          <w:szCs w:val="22"/>
          <w:lang w:val="en-US"/>
        </w:rPr>
        <w:t xml:space="preserve"> Drug Label API with a combined </w:t>
      </w:r>
      <w:r w:rsidRPr="4CBB5BEB" w:rsidR="4CBB5BEB">
        <w:rPr>
          <w:rFonts w:ascii="Arial" w:hAnsi="Arial" w:eastAsia="Arial" w:cs="Arial"/>
          <w:sz w:val="22"/>
          <w:szCs w:val="22"/>
          <w:lang w:val="en-US"/>
        </w:rPr>
        <w:t>drug+food</w:t>
      </w:r>
      <w:r w:rsidRPr="4CBB5BEB" w:rsidR="4CBB5BEB">
        <w:rPr>
          <w:rFonts w:ascii="Arial" w:hAnsi="Arial" w:eastAsia="Arial" w:cs="Arial"/>
          <w:sz w:val="22"/>
          <w:szCs w:val="22"/>
          <w:lang w:val="en-US"/>
        </w:rPr>
        <w:t xml:space="preserve"> search string and applies lexical severity heuristics (</w:t>
      </w:r>
      <w:r w:rsidRPr="4CBB5BEB" w:rsidR="4CBB5BEB">
        <w:rPr>
          <w:rFonts w:ascii="Arial" w:hAnsi="Arial" w:eastAsia="Arial" w:cs="Arial"/>
          <w:i w:val="1"/>
          <w:iCs w:val="1"/>
          <w:sz w:val="22"/>
          <w:szCs w:val="22"/>
          <w:lang w:val="en-US"/>
        </w:rPr>
        <w:t>contraindicated, fatal, severe, life-threatening, do not consume</w:t>
      </w:r>
      <w:r w:rsidRPr="4CBB5BEB" w:rsidR="4CBB5BEB">
        <w:rPr>
          <w:rFonts w:ascii="Arial" w:hAnsi="Arial" w:eastAsia="Arial" w:cs="Arial"/>
          <w:sz w:val="22"/>
          <w:szCs w:val="22"/>
          <w:lang w:val="en-US"/>
        </w:rPr>
        <w:t xml:space="preserve"> → Critical; otherwise → Moderate). Prediction results are displayed side-by-side with ground truth labels using </w:t>
      </w:r>
      <w:r w:rsidRPr="4CBB5BEB" w:rsidR="4CBB5BEB">
        <w:rPr>
          <w:rFonts w:ascii="Arial" w:hAnsi="Arial" w:eastAsia="Arial" w:cs="Arial"/>
          <w:sz w:val="22"/>
          <w:szCs w:val="22"/>
          <w:lang w:val="en-US"/>
        </w:rPr>
        <w:t>Streamlit's</w:t>
      </w:r>
      <w:r w:rsidRPr="4CBB5BEB" w:rsidR="4CBB5BEB">
        <w:rPr>
          <w:rFonts w:ascii="Arial" w:hAnsi="Arial" w:eastAsia="Arial" w:cs="Arial"/>
          <w:sz w:val="22"/>
          <w:szCs w:val="22"/>
          <w:lang w:val="en-US"/>
        </w:rPr>
        <w:t xml:space="preserve"> </w:t>
      </w:r>
      <w:r w:rsidRPr="4CBB5BEB" w:rsidR="4CBB5BEB">
        <w:rPr>
          <w:rFonts w:ascii="Arial" w:hAnsi="Arial" w:eastAsia="Arial" w:cs="Arial"/>
          <w:i w:val="1"/>
          <w:iCs w:val="1"/>
          <w:sz w:val="22"/>
          <w:szCs w:val="22"/>
          <w:lang w:val="en-US"/>
        </w:rPr>
        <w:t>st.success</w:t>
      </w:r>
      <w:r w:rsidRPr="4CBB5BEB" w:rsidR="4CBB5BEB">
        <w:rPr>
          <w:rFonts w:ascii="Arial" w:hAnsi="Arial" w:eastAsia="Arial" w:cs="Arial"/>
          <w:i w:val="1"/>
          <w:iCs w:val="1"/>
          <w:sz w:val="22"/>
          <w:szCs w:val="22"/>
          <w:lang w:val="en-US"/>
        </w:rPr>
        <w:t xml:space="preserve"> / </w:t>
      </w:r>
      <w:r w:rsidRPr="4CBB5BEB" w:rsidR="4CBB5BEB">
        <w:rPr>
          <w:rFonts w:ascii="Arial" w:hAnsi="Arial" w:eastAsia="Arial" w:cs="Arial"/>
          <w:i w:val="1"/>
          <w:iCs w:val="1"/>
          <w:sz w:val="22"/>
          <w:szCs w:val="22"/>
          <w:lang w:val="en-US"/>
        </w:rPr>
        <w:t>st.warning</w:t>
      </w:r>
      <w:r w:rsidRPr="4CBB5BEB" w:rsidR="4CBB5BEB">
        <w:rPr>
          <w:rFonts w:ascii="Arial" w:hAnsi="Arial" w:eastAsia="Arial" w:cs="Arial"/>
          <w:i w:val="1"/>
          <w:iCs w:val="1"/>
          <w:sz w:val="22"/>
          <w:szCs w:val="22"/>
          <w:lang w:val="en-US"/>
        </w:rPr>
        <w:t xml:space="preserve"> / </w:t>
      </w:r>
      <w:r w:rsidRPr="4CBB5BEB" w:rsidR="4CBB5BEB">
        <w:rPr>
          <w:rFonts w:ascii="Arial" w:hAnsi="Arial" w:eastAsia="Arial" w:cs="Arial"/>
          <w:i w:val="1"/>
          <w:iCs w:val="1"/>
          <w:sz w:val="22"/>
          <w:szCs w:val="22"/>
          <w:lang w:val="en-US"/>
        </w:rPr>
        <w:t>st.error</w:t>
      </w:r>
      <w:r w:rsidRPr="4CBB5BEB" w:rsidR="4CBB5BEB">
        <w:rPr>
          <w:rFonts w:ascii="Arial" w:hAnsi="Arial" w:eastAsia="Arial" w:cs="Arial"/>
          <w:sz w:val="22"/>
          <w:szCs w:val="22"/>
          <w:lang w:val="en-US"/>
        </w:rPr>
        <w:t xml:space="preserve"> severity </w:t>
      </w:r>
      <w:r w:rsidRPr="4CBB5BEB" w:rsidR="4CBB5BEB">
        <w:rPr>
          <w:rFonts w:ascii="Arial" w:hAnsi="Arial" w:eastAsia="Arial" w:cs="Arial"/>
          <w:sz w:val="22"/>
          <w:szCs w:val="22"/>
          <w:lang w:val="en-US"/>
        </w:rPr>
        <w:t>colour</w:t>
      </w:r>
      <w:r w:rsidRPr="4CBB5BEB" w:rsidR="4CBB5BEB">
        <w:rPr>
          <w:rFonts w:ascii="Arial" w:hAnsi="Arial" w:eastAsia="Arial" w:cs="Arial"/>
          <w:sz w:val="22"/>
          <w:szCs w:val="22"/>
          <w:lang w:val="en-US"/>
        </w:rPr>
        <w:t xml:space="preserve"> coding, accompanied by a correct/incorrect prediction badge and visual balloons on correct predictions. A sidebar provides </w:t>
      </w:r>
      <w:r w:rsidRPr="4CBB5BEB" w:rsidR="4CBB5BEB">
        <w:rPr>
          <w:rFonts w:ascii="Arial" w:hAnsi="Arial" w:eastAsia="Arial" w:cs="Arial"/>
          <w:sz w:val="22"/>
          <w:szCs w:val="22"/>
          <w:lang w:val="en-US"/>
        </w:rPr>
        <w:t>model</w:t>
      </w:r>
      <w:r w:rsidRPr="4CBB5BEB" w:rsidR="4CBB5BEB">
        <w:rPr>
          <w:rFonts w:ascii="Arial" w:hAnsi="Arial" w:eastAsia="Arial" w:cs="Arial"/>
          <w:sz w:val="22"/>
          <w:szCs w:val="22"/>
          <w:lang w:val="en-US"/>
        </w:rPr>
        <w:t xml:space="preserve"> provenance information. The full drug name autocomplete list and food item vocabulary are </w:t>
      </w:r>
      <w:r w:rsidRPr="4CBB5BEB" w:rsidR="4CBB5BEB">
        <w:rPr>
          <w:rFonts w:ascii="Arial" w:hAnsi="Arial" w:eastAsia="Arial" w:cs="Arial"/>
          <w:sz w:val="22"/>
          <w:szCs w:val="22"/>
          <w:lang w:val="en-US"/>
        </w:rPr>
        <w:t>maintained</w:t>
      </w:r>
      <w:r w:rsidRPr="4CBB5BEB" w:rsidR="4CBB5BEB">
        <w:rPr>
          <w:rFonts w:ascii="Arial" w:hAnsi="Arial" w:eastAsia="Arial" w:cs="Arial"/>
          <w:sz w:val="22"/>
          <w:szCs w:val="22"/>
          <w:lang w:val="en-US"/>
        </w:rPr>
        <w:t xml:space="preserve"> in </w:t>
      </w:r>
      <w:r w:rsidRPr="4CBB5BEB" w:rsidR="4CBB5BEB">
        <w:rPr>
          <w:rFonts w:ascii="Arial" w:hAnsi="Arial" w:eastAsia="Arial" w:cs="Arial"/>
          <w:i w:val="1"/>
          <w:iCs w:val="1"/>
          <w:sz w:val="22"/>
          <w:szCs w:val="22"/>
          <w:lang w:val="en-US"/>
        </w:rPr>
        <w:t>drug-food-list.txt</w:t>
      </w:r>
      <w:r w:rsidRPr="4CBB5BEB" w:rsidR="4CBB5BEB">
        <w:rPr>
          <w:rFonts w:ascii="Arial" w:hAnsi="Arial" w:eastAsia="Arial" w:cs="Arial"/>
          <w:sz w:val="22"/>
          <w:szCs w:val="22"/>
          <w:lang w:val="en-US"/>
        </w:rPr>
        <w:t xml:space="preserve"> for UI binding.</w:t>
      </w:r>
    </w:p>
    <w:p xmlns:wp14="http://schemas.microsoft.com/office/word/2010/wordml" w14:paraId="5D05CEF1" wp14:textId="77777777">
      <w:pPr>
        <w:spacing w:before="200" w:after="80"/>
      </w:pPr>
      <w:r w:rsidRPr="038D2D71" w:rsidR="038D2D71">
        <w:rPr>
          <w:rFonts w:ascii="Arial" w:hAnsi="Arial" w:eastAsia="Arial" w:cs="Arial"/>
          <w:b w:val="1"/>
          <w:bCs w:val="1"/>
          <w:sz w:val="22"/>
          <w:szCs w:val="22"/>
        </w:rPr>
        <w:t>Figure 2 — Methodology Workflow and UI Layout</w:t>
      </w:r>
    </w:p>
    <w:p w:rsidR="038D2D71" w:rsidP="038D2D71" w:rsidRDefault="038D2D71" w14:paraId="49F15C50" w14:textId="3A9533CD">
      <w:pPr>
        <w:spacing w:before="200" w:after="80"/>
        <w:rPr>
          <w:rFonts w:ascii="Arial" w:hAnsi="Arial" w:eastAsia="Arial" w:cs="Arial"/>
          <w:b w:val="1"/>
          <w:bCs w:val="1"/>
          <w:sz w:val="22"/>
          <w:szCs w:val="22"/>
        </w:rPr>
      </w:pPr>
    </w:p>
    <w:p w:rsidR="1CA8CD3C" w:rsidP="038D2D71" w:rsidRDefault="1CA8CD3C" w14:paraId="535E01D9" w14:textId="30EE651D">
      <w:pPr>
        <w:pStyle w:val="Normal"/>
        <w:spacing w:before="200" w:after="80"/>
      </w:pPr>
      <w:r w:rsidR="1CA8CD3C">
        <w:drawing>
          <wp:inline wp14:editId="042A27EE" wp14:anchorId="4F8C8221">
            <wp:extent cx="5943600" cy="1695450"/>
            <wp:effectExtent l="0" t="0" r="0" b="0"/>
            <wp:docPr id="1408874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874721" name="Picture 1408874721"/>
                    <pic:cNvPicPr/>
                  </pic:nvPicPr>
                  <pic:blipFill>
                    <a:blip xmlns:r="http://schemas.openxmlformats.org/officeDocument/2006/relationships" r:embed="rId1462273397">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5235D78F" w:rsidP="038D2D71" w:rsidRDefault="5235D78F" w14:paraId="6951A898" w14:textId="7B8EBA3D">
      <w:pPr>
        <w:pStyle w:val="Normal"/>
        <w:spacing w:before="200" w:after="80"/>
        <w:jc w:val="center"/>
      </w:pPr>
      <w:r w:rsidR="5235D78F">
        <w:drawing>
          <wp:inline wp14:editId="5D4395C8" wp14:anchorId="30DC475C">
            <wp:extent cx="5943600" cy="3990975"/>
            <wp:effectExtent l="0" t="0" r="0" b="0"/>
            <wp:docPr id="180427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275246" name="Picture 1804275246"/>
                    <pic:cNvPicPr/>
                  </pic:nvPicPr>
                  <pic:blipFill>
                    <a:blip xmlns:r="http://schemas.openxmlformats.org/officeDocument/2006/relationships" r:embed="rId1799141864">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xmlns:wp14="http://schemas.microsoft.com/office/word/2010/wordml" w14:paraId="62BD70F4" wp14:textId="77777777">
      <w:pPr>
        <w:spacing w:before="80" w:after="200"/>
        <w:jc w:val="center"/>
      </w:pPr>
      <w:r w:rsidRPr="4CBB5BEB" w:rsidR="4CBB5BEB">
        <w:rPr>
          <w:rFonts w:ascii="Arial" w:hAnsi="Arial" w:eastAsia="Arial" w:cs="Arial"/>
          <w:i w:val="1"/>
          <w:iCs w:val="1"/>
          <w:color w:val="444444"/>
          <w:sz w:val="20"/>
          <w:szCs w:val="20"/>
          <w:lang w:val="en-US"/>
        </w:rPr>
        <w:t xml:space="preserve">Fig. 2. Left: Step-by-step </w:t>
      </w:r>
      <w:r w:rsidRPr="4CBB5BEB" w:rsidR="4CBB5BEB">
        <w:rPr>
          <w:rFonts w:ascii="Arial" w:hAnsi="Arial" w:eastAsia="Arial" w:cs="Arial"/>
          <w:i w:val="1"/>
          <w:iCs w:val="1"/>
          <w:color w:val="444444"/>
          <w:sz w:val="20"/>
          <w:szCs w:val="20"/>
          <w:lang w:val="en-US"/>
        </w:rPr>
        <w:t>methodology</w:t>
      </w:r>
      <w:r w:rsidRPr="4CBB5BEB" w:rsidR="4CBB5BEB">
        <w:rPr>
          <w:rFonts w:ascii="Arial" w:hAnsi="Arial" w:eastAsia="Arial" w:cs="Arial"/>
          <w:i w:val="1"/>
          <w:iCs w:val="1"/>
          <w:color w:val="444444"/>
          <w:sz w:val="20"/>
          <w:szCs w:val="20"/>
          <w:lang w:val="en-US"/>
        </w:rPr>
        <w:t xml:space="preserve"> workflow from raw FDA label ingestion to SHAP-interpreted ensemble prediction. Right: </w:t>
      </w:r>
      <w:r w:rsidRPr="4CBB5BEB" w:rsidR="4CBB5BEB">
        <w:rPr>
          <w:rFonts w:ascii="Arial" w:hAnsi="Arial" w:eastAsia="Arial" w:cs="Arial"/>
          <w:i w:val="1"/>
          <w:iCs w:val="1"/>
          <w:color w:val="444444"/>
          <w:sz w:val="20"/>
          <w:szCs w:val="20"/>
          <w:lang w:val="en-US"/>
        </w:rPr>
        <w:t>Streamlit</w:t>
      </w:r>
      <w:r w:rsidRPr="4CBB5BEB" w:rsidR="4CBB5BEB">
        <w:rPr>
          <w:rFonts w:ascii="Arial" w:hAnsi="Arial" w:eastAsia="Arial" w:cs="Arial"/>
          <w:i w:val="1"/>
          <w:iCs w:val="1"/>
          <w:color w:val="444444"/>
          <w:sz w:val="20"/>
          <w:szCs w:val="20"/>
          <w:lang w:val="en-US"/>
        </w:rPr>
        <w:t xml:space="preserve"> web interface displaying side-by-side ML prediction and ground truth lookup with risk-level </w:t>
      </w:r>
      <w:r w:rsidRPr="4CBB5BEB" w:rsidR="4CBB5BEB">
        <w:rPr>
          <w:rFonts w:ascii="Arial" w:hAnsi="Arial" w:eastAsia="Arial" w:cs="Arial"/>
          <w:i w:val="1"/>
          <w:iCs w:val="1"/>
          <w:color w:val="444444"/>
          <w:sz w:val="20"/>
          <w:szCs w:val="20"/>
          <w:lang w:val="en-US"/>
        </w:rPr>
        <w:t>colour</w:t>
      </w:r>
      <w:r w:rsidRPr="4CBB5BEB" w:rsidR="4CBB5BEB">
        <w:rPr>
          <w:rFonts w:ascii="Arial" w:hAnsi="Arial" w:eastAsia="Arial" w:cs="Arial"/>
          <w:i w:val="1"/>
          <w:iCs w:val="1"/>
          <w:color w:val="444444"/>
          <w:sz w:val="20"/>
          <w:szCs w:val="20"/>
          <w:lang w:val="en-US"/>
        </w:rPr>
        <w:t xml:space="preserve"> coding (green = Neutral, amber = Moderate, red = Critical).</w:t>
      </w:r>
    </w:p>
    <w:p xmlns:wp14="http://schemas.microsoft.com/office/word/2010/wordml" w14:paraId="02EB378F" wp14:textId="77777777">
      <w:pPr>
        <w:pBdr>
          <w:bottom w:val="single" w:color="CCCCCC" w:sz="4" w:space="1"/>
        </w:pBdr>
        <w:spacing w:before="80" w:after="80"/>
      </w:pPr>
    </w:p>
    <w:p xmlns:wp14="http://schemas.microsoft.com/office/word/2010/wordml" w14:paraId="181BAD78" wp14:textId="77777777">
      <w:pPr>
        <w:pStyle w:val="Heading1"/>
        <w:spacing w:before="360" w:after="180"/>
      </w:pPr>
      <w:r>
        <w:rPr>
          <w:rFonts w:ascii="Arial" w:hAnsi="Arial" w:eastAsia="Arial" w:cs="Arial"/>
          <w:b/>
          <w:bCs/>
          <w:color w:val="1F3864"/>
          <w:sz w:val="28"/>
          <w:szCs w:val="28"/>
        </w:rPr>
        <w:t xml:space="preserve">III. Results and Discussion</w:t>
      </w:r>
    </w:p>
    <w:p xmlns:wp14="http://schemas.microsoft.com/office/word/2010/wordml" w14:paraId="6BB58201" wp14:textId="77777777">
      <w:pPr>
        <w:pStyle w:val="Heading2"/>
        <w:spacing w:before="240" w:after="120"/>
      </w:pPr>
      <w:r>
        <w:rPr>
          <w:rFonts w:ascii="Arial" w:hAnsi="Arial" w:eastAsia="Arial" w:cs="Arial"/>
          <w:b/>
          <w:bCs/>
          <w:color w:val="2E5396"/>
          <w:sz w:val="24"/>
          <w:szCs w:val="24"/>
        </w:rPr>
        <w:t xml:space="preserve">3.1 Benchmark Comparison Across Classifiers</w:t>
      </w:r>
    </w:p>
    <w:p xmlns:wp14="http://schemas.microsoft.com/office/word/2010/wordml" w14:paraId="5B43D05F" wp14:textId="77777777">
      <w:pPr>
        <w:spacing w:before="120" w:after="120"/>
        <w:jc w:val="both"/>
      </w:pPr>
      <w:r w:rsidRPr="4CBB5BEB" w:rsidR="4CBB5BEB">
        <w:rPr>
          <w:rFonts w:ascii="Arial" w:hAnsi="Arial" w:eastAsia="Arial" w:cs="Arial"/>
          <w:sz w:val="22"/>
          <w:szCs w:val="22"/>
          <w:lang w:val="en-US"/>
        </w:rPr>
        <w:t xml:space="preserve">Ten classifiers were evaluated under identical preprocessing, feature engineering, and LODO evaluation protocols. Table 1 presents the full benchmark across training, validation, and unseen accuracy; weighted F1 score; and one-vs-rest ROC-AUC for all models.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and the Soft-Voting Ensemble jointly achieve the highest validation accuracy of </w:t>
      </w:r>
      <w:r w:rsidRPr="4CBB5BEB" w:rsidR="4CBB5BEB">
        <w:rPr>
          <w:rFonts w:ascii="Arial" w:hAnsi="Arial" w:eastAsia="Arial" w:cs="Arial"/>
          <w:b w:val="1"/>
          <w:bCs w:val="1"/>
          <w:sz w:val="22"/>
          <w:szCs w:val="22"/>
          <w:lang w:val="en-US"/>
        </w:rPr>
        <w:t>80.3%</w:t>
      </w:r>
      <w:r w:rsidRPr="4CBB5BEB" w:rsidR="4CBB5BEB">
        <w:rPr>
          <w:rFonts w:ascii="Arial" w:hAnsi="Arial" w:eastAsia="Arial" w:cs="Arial"/>
          <w:sz w:val="22"/>
          <w:szCs w:val="22"/>
          <w:lang w:val="en-US"/>
        </w:rPr>
        <w:t xml:space="preserve">, with LODO unseen accuracy of </w:t>
      </w:r>
      <w:r w:rsidRPr="4CBB5BEB" w:rsidR="4CBB5BEB">
        <w:rPr>
          <w:rFonts w:ascii="Arial" w:hAnsi="Arial" w:eastAsia="Arial" w:cs="Arial"/>
          <w:b w:val="1"/>
          <w:bCs w:val="1"/>
          <w:sz w:val="22"/>
          <w:szCs w:val="22"/>
          <w:lang w:val="en-US"/>
        </w:rPr>
        <w:t>86.9%</w:t>
      </w:r>
      <w:r w:rsidRPr="4CBB5BEB" w:rsidR="4CBB5BEB">
        <w:rPr>
          <w:rFonts w:ascii="Arial" w:hAnsi="Arial" w:eastAsia="Arial" w:cs="Arial"/>
          <w:sz w:val="22"/>
          <w:szCs w:val="22"/>
          <w:lang w:val="en-US"/>
        </w:rPr>
        <w:t xml:space="preserve"> and ROC-AUC of 0.9477 and </w:t>
      </w:r>
      <w:r w:rsidRPr="4CBB5BEB" w:rsidR="4CBB5BEB">
        <w:rPr>
          <w:rFonts w:ascii="Arial" w:hAnsi="Arial" w:eastAsia="Arial" w:cs="Arial"/>
          <w:sz w:val="22"/>
          <w:szCs w:val="22"/>
          <w:lang w:val="en-US"/>
        </w:rPr>
        <w:t>0.9515</w:t>
      </w:r>
      <w:r w:rsidRPr="4CBB5BEB" w:rsidR="4CBB5BEB">
        <w:rPr>
          <w:rFonts w:ascii="Arial" w:hAnsi="Arial" w:eastAsia="Arial" w:cs="Arial"/>
          <w:sz w:val="22"/>
          <w:szCs w:val="22"/>
          <w:lang w:val="en-US"/>
        </w:rPr>
        <w:t xml:space="preserve"> respectively. The strong LODO performance—where the unseen accuracy exceeds the validation accuracy for multiple models—reflects the effectiveness of the balanced class </w:t>
      </w:r>
      <w:r w:rsidRPr="4CBB5BEB" w:rsidR="4CBB5BEB">
        <w:rPr>
          <w:rFonts w:ascii="Arial" w:hAnsi="Arial" w:eastAsia="Arial" w:cs="Arial"/>
          <w:sz w:val="22"/>
          <w:szCs w:val="22"/>
          <w:lang w:val="en-US"/>
        </w:rPr>
        <w:t>downsampling</w:t>
      </w:r>
      <w:r w:rsidRPr="4CBB5BEB" w:rsidR="4CBB5BEB">
        <w:rPr>
          <w:rFonts w:ascii="Arial" w:hAnsi="Arial" w:eastAsia="Arial" w:cs="Arial"/>
          <w:sz w:val="22"/>
          <w:szCs w:val="22"/>
          <w:lang w:val="en-US"/>
        </w:rPr>
        <w:t xml:space="preserve"> and LODO split design: the LODO holdout </w:t>
      </w:r>
      <w:r w:rsidRPr="4CBB5BEB" w:rsidR="4CBB5BEB">
        <w:rPr>
          <w:rFonts w:ascii="Arial" w:hAnsi="Arial" w:eastAsia="Arial" w:cs="Arial"/>
          <w:sz w:val="22"/>
          <w:szCs w:val="22"/>
          <w:lang w:val="en-US"/>
        </w:rPr>
        <w:t>contains</w:t>
      </w:r>
      <w:r w:rsidRPr="4CBB5BEB" w:rsidR="4CBB5BEB">
        <w:rPr>
          <w:rFonts w:ascii="Arial" w:hAnsi="Arial" w:eastAsia="Arial" w:cs="Arial"/>
          <w:sz w:val="22"/>
          <w:szCs w:val="22"/>
          <w:lang w:val="en-US"/>
        </w:rPr>
        <w:t xml:space="preserve"> exclusively out-of-distribution drug scaffolds, </w:t>
      </w:r>
      <w:r w:rsidRPr="4CBB5BEB" w:rsidR="4CBB5BEB">
        <w:rPr>
          <w:rFonts w:ascii="Arial" w:hAnsi="Arial" w:eastAsia="Arial" w:cs="Arial"/>
          <w:sz w:val="22"/>
          <w:szCs w:val="22"/>
          <w:lang w:val="en-US"/>
        </w:rPr>
        <w:t>demonstrating</w:t>
      </w:r>
      <w:r w:rsidRPr="4CBB5BEB" w:rsidR="4CBB5BEB">
        <w:rPr>
          <w:rFonts w:ascii="Arial" w:hAnsi="Arial" w:eastAsia="Arial" w:cs="Arial"/>
          <w:sz w:val="22"/>
          <w:szCs w:val="22"/>
          <w:lang w:val="en-US"/>
        </w:rPr>
        <w:t xml:space="preserve"> genuine </w:t>
      </w:r>
      <w:r w:rsidRPr="4CBB5BEB" w:rsidR="4CBB5BEB">
        <w:rPr>
          <w:rFonts w:ascii="Arial" w:hAnsi="Arial" w:eastAsia="Arial" w:cs="Arial"/>
          <w:sz w:val="22"/>
          <w:szCs w:val="22"/>
          <w:lang w:val="en-US"/>
        </w:rPr>
        <w:t>generalisation</w:t>
      </w:r>
      <w:r w:rsidRPr="4CBB5BEB" w:rsidR="4CBB5BEB">
        <w:rPr>
          <w:rFonts w:ascii="Arial" w:hAnsi="Arial" w:eastAsia="Arial" w:cs="Arial"/>
          <w:sz w:val="22"/>
          <w:szCs w:val="22"/>
          <w:lang w:val="en-US"/>
        </w:rPr>
        <w:t xml:space="preserve"> rather than interpolation within the training distribution. Logistic Regression achieves a competitive unseen accuracy of </w:t>
      </w:r>
      <w:r w:rsidRPr="4CBB5BEB" w:rsidR="4CBB5BEB">
        <w:rPr>
          <w:rFonts w:ascii="Arial" w:hAnsi="Arial" w:eastAsia="Arial" w:cs="Arial"/>
          <w:b w:val="1"/>
          <w:bCs w:val="1"/>
          <w:sz w:val="22"/>
          <w:szCs w:val="22"/>
          <w:lang w:val="en-US"/>
        </w:rPr>
        <w:t>80.95%</w:t>
      </w:r>
      <w:r w:rsidRPr="4CBB5BEB" w:rsidR="4CBB5BEB">
        <w:rPr>
          <w:rFonts w:ascii="Arial" w:hAnsi="Arial" w:eastAsia="Arial" w:cs="Arial"/>
          <w:sz w:val="22"/>
          <w:szCs w:val="22"/>
          <w:lang w:val="en-US"/>
        </w:rPr>
        <w:t xml:space="preserve"> with perfect unseen F1 of 0.8095, suggesting that the feature engineering pipeline itself (Morgan fingerprints + physicochemical descriptors) creates a </w:t>
      </w:r>
      <w:r w:rsidRPr="4CBB5BEB" w:rsidR="4CBB5BEB">
        <w:rPr>
          <w:rFonts w:ascii="Arial" w:hAnsi="Arial" w:eastAsia="Arial" w:cs="Arial"/>
          <w:sz w:val="22"/>
          <w:szCs w:val="22"/>
          <w:lang w:val="en-US"/>
        </w:rPr>
        <w:t>largely linearly</w:t>
      </w:r>
      <w:r w:rsidRPr="4CBB5BEB" w:rsidR="4CBB5BEB">
        <w:rPr>
          <w:rFonts w:ascii="Arial" w:hAnsi="Arial" w:eastAsia="Arial" w:cs="Arial"/>
          <w:sz w:val="22"/>
          <w:szCs w:val="22"/>
          <w:lang w:val="en-US"/>
        </w:rPr>
        <w:t xml:space="preserve"> separable representation.</w:t>
      </w:r>
    </w:p>
    <w:p xmlns:wp14="http://schemas.microsoft.com/office/word/2010/wordml" w14:paraId="1A048614" wp14:textId="77777777">
      <w:pPr>
        <w:spacing w:before="200" w:after="80"/>
        <w:jc w:val="center"/>
      </w:pPr>
      <w:r>
        <w:rPr>
          <w:rFonts w:ascii="Arial" w:hAnsi="Arial" w:eastAsia="Arial" w:cs="Arial"/>
          <w:b/>
          <w:bCs/>
          <w:sz w:val="20"/>
          <w:szCs w:val="20"/>
        </w:rPr>
        <w:t xml:space="preserve">Table 1. Multi-Classifier Performance Benchmark — Real-World FDA Drug-Food Interaction Dataset (LODO Split)</w:t>
      </w:r>
    </w:p>
    <w:tbl>
      <w:tblPr>
        <w:tblW w:w="93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1000"/>
        <w:gridCol w:w="900"/>
        <w:gridCol w:w="1000"/>
        <w:gridCol w:w="980"/>
        <w:gridCol w:w="980"/>
      </w:tblGrid>
      <w:tr xmlns:wp14="http://schemas.microsoft.com/office/word/2010/wordml" w:rsidTr="038D2D71" w14:paraId="67BE81B1" wp14:textId="77777777">
        <w:trPr>
          <w:tblHeader/>
        </w:trPr>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5D379CA5" wp14:textId="77777777">
            <w:pPr>
              <w:jc w:val="center"/>
            </w:pPr>
            <w:r>
              <w:rPr>
                <w:rFonts w:ascii="Arial" w:hAnsi="Arial" w:eastAsia="Arial" w:cs="Arial"/>
                <w:b/>
                <w:bCs/>
                <w:color w:val="FFFFFF"/>
                <w:sz w:val="17"/>
                <w:szCs w:val="17"/>
              </w:rPr>
              <w:t xml:space="preserve">Model</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1D600199" wp14:textId="77777777">
            <w:pPr>
              <w:jc w:val="center"/>
            </w:pPr>
            <w:r>
              <w:rPr>
                <w:rFonts w:ascii="Arial" w:hAnsi="Arial" w:eastAsia="Arial" w:cs="Arial"/>
                <w:b/>
                <w:bCs/>
                <w:color w:val="FFFFFF"/>
                <w:sz w:val="17"/>
                <w:szCs w:val="17"/>
              </w:rPr>
              <w:t xml:space="preserve">Train Acc</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087201B3" wp14:textId="77777777">
            <w:pPr>
              <w:jc w:val="center"/>
            </w:pPr>
            <w:r>
              <w:rPr>
                <w:rFonts w:ascii="Arial" w:hAnsi="Arial" w:eastAsia="Arial" w:cs="Arial"/>
                <w:b/>
                <w:bCs/>
                <w:color w:val="FFFFFF"/>
                <w:sz w:val="17"/>
                <w:szCs w:val="17"/>
              </w:rPr>
              <w:t xml:space="preserve">Val Acc</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6B46F779" wp14:textId="77777777">
            <w:pPr>
              <w:jc w:val="center"/>
            </w:pPr>
            <w:r>
              <w:rPr>
                <w:rFonts w:ascii="Arial" w:hAnsi="Arial" w:eastAsia="Arial" w:cs="Arial"/>
                <w:b/>
                <w:bCs/>
                <w:color w:val="FFFFFF"/>
                <w:sz w:val="17"/>
                <w:szCs w:val="17"/>
              </w:rPr>
              <w:t xml:space="preserve">Unseen Acc</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3340C07D" wp14:textId="77777777">
            <w:pPr>
              <w:jc w:val="center"/>
            </w:pPr>
            <w:r>
              <w:rPr>
                <w:rFonts w:ascii="Arial" w:hAnsi="Arial" w:eastAsia="Arial" w:cs="Arial"/>
                <w:b/>
                <w:bCs/>
                <w:color w:val="FFFFFF"/>
                <w:sz w:val="17"/>
                <w:szCs w:val="17"/>
              </w:rPr>
              <w:t xml:space="preserve">Val F1</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70CD2A3F" wp14:textId="77777777">
            <w:pPr>
              <w:jc w:val="center"/>
            </w:pPr>
            <w:r>
              <w:rPr>
                <w:rFonts w:ascii="Arial" w:hAnsi="Arial" w:eastAsia="Arial" w:cs="Arial"/>
                <w:b/>
                <w:bCs/>
                <w:color w:val="FFFFFF"/>
                <w:sz w:val="17"/>
                <w:szCs w:val="17"/>
              </w:rPr>
              <w:t xml:space="preserve">Unseen F1</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20AABBBE" wp14:textId="77777777">
            <w:pPr>
              <w:jc w:val="center"/>
            </w:pPr>
            <w:r>
              <w:rPr>
                <w:rFonts w:ascii="Arial" w:hAnsi="Arial" w:eastAsia="Arial" w:cs="Arial"/>
                <w:b/>
                <w:bCs/>
                <w:color w:val="FFFFFF"/>
                <w:sz w:val="17"/>
                <w:szCs w:val="17"/>
              </w:rPr>
              <w:t xml:space="preserve">Val AUC</w:t>
            </w:r>
          </w:p>
        </w:tc>
        <w:tc>
          <w:tcPr>
            <w:tcBorders>
              <w:top w:val="single" w:color="AAAAAA" w:sz="1"/>
              <w:left w:val="single" w:color="AAAAAA" w:sz="1"/>
              <w:bottom w:val="single" w:color="AAAAAA" w:sz="1"/>
              <w:right w:val="single" w:color="AAAAAA" w:sz="1"/>
            </w:tcBorders>
            <w:shd w:val="clear" w:color="auto" w:fill="1F3864"/>
            <w:tcMar>
              <w:top w:w="60" w:type="dxa"/>
              <w:left w:w="100" w:type="dxa"/>
              <w:bottom w:w="60" w:type="dxa"/>
              <w:right w:w="100" w:type="dxa"/>
            </w:tcMar>
          </w:tcPr>
          <w:p w14:paraId="171DC26F" wp14:textId="77777777">
            <w:pPr>
              <w:jc w:val="center"/>
            </w:pPr>
            <w:r>
              <w:rPr>
                <w:rFonts w:ascii="Arial" w:hAnsi="Arial" w:eastAsia="Arial" w:cs="Arial"/>
                <w:b/>
                <w:bCs/>
                <w:color w:val="FFFFFF"/>
                <w:sz w:val="17"/>
                <w:szCs w:val="17"/>
              </w:rPr>
              <w:t xml:space="preserve">Unseen AUC</w:t>
            </w:r>
          </w:p>
        </w:tc>
      </w:tr>
      <w:tr xmlns:wp14="http://schemas.microsoft.com/office/word/2010/wordml" w:rsidTr="038D2D71" w14:paraId="7B4E2FB4"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A10C00C" wp14:textId="77777777">
            <w:pPr>
              <w:jc w:val="center"/>
            </w:pPr>
            <w:r w:rsidRPr="4CBB5BEB" w:rsidR="4CBB5BEB">
              <w:rPr>
                <w:rFonts w:ascii="Arial" w:hAnsi="Arial" w:eastAsia="Arial" w:cs="Arial"/>
                <w:b w:val="0"/>
                <w:bCs w:val="0"/>
                <w:color w:val="000000"/>
                <w:sz w:val="17"/>
                <w:szCs w:val="17"/>
                <w:lang w:val="en-US"/>
              </w:rPr>
              <w:t>XGBoost</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6CA48A3" wp14:textId="77777777">
            <w:pPr>
              <w:jc w:val="center"/>
            </w:pPr>
            <w:r>
              <w:rPr>
                <w:rFonts w:ascii="Arial" w:hAnsi="Arial" w:eastAsia="Arial" w:cs="Arial"/>
                <w:b w:val="false"/>
                <w:bCs w:val="false"/>
                <w:color w:val="000000"/>
                <w:sz w:val="17"/>
                <w:szCs w:val="17"/>
              </w:rPr>
              <w:t xml:space="preserve">0.8869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25DC57F" wp14:textId="77777777">
            <w:pPr>
              <w:jc w:val="center"/>
            </w:pPr>
            <w:r>
              <w:rPr>
                <w:rFonts w:ascii="Arial" w:hAnsi="Arial" w:eastAsia="Arial" w:cs="Arial"/>
                <w:b w:val="false"/>
                <w:bCs w:val="false"/>
                <w:color w:val="000000"/>
                <w:sz w:val="17"/>
                <w:szCs w:val="17"/>
              </w:rPr>
              <w:t xml:space="preserve">0.8028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283214E" wp14:textId="77777777">
            <w:pPr>
              <w:jc w:val="center"/>
            </w:pPr>
            <w:r>
              <w:rPr>
                <w:rFonts w:ascii="Arial" w:hAnsi="Arial" w:eastAsia="Arial" w:cs="Arial"/>
                <w:b w:val="false"/>
                <w:bCs w:val="false"/>
                <w:color w:val="000000"/>
                <w:sz w:val="17"/>
                <w:szCs w:val="17"/>
              </w:rPr>
              <w:t xml:space="preserve">0.8690</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016B6B3" wp14:textId="77777777">
            <w:pPr>
              <w:jc w:val="center"/>
            </w:pPr>
            <w:r>
              <w:rPr>
                <w:rFonts w:ascii="Arial" w:hAnsi="Arial" w:eastAsia="Arial" w:cs="Arial"/>
                <w:b w:val="false"/>
                <w:bCs w:val="false"/>
                <w:color w:val="000000"/>
                <w:sz w:val="17"/>
                <w:szCs w:val="17"/>
              </w:rPr>
              <w:t xml:space="preserve">0.7974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CA5B328" wp14:textId="77777777">
            <w:pPr>
              <w:jc w:val="center"/>
            </w:pPr>
            <w:r>
              <w:rPr>
                <w:rFonts w:ascii="Arial" w:hAnsi="Arial" w:eastAsia="Arial" w:cs="Arial"/>
                <w:b w:val="false"/>
                <w:bCs w:val="false"/>
                <w:color w:val="000000"/>
                <w:sz w:val="17"/>
                <w:szCs w:val="17"/>
              </w:rPr>
              <w:t xml:space="preserve">0.8645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648D4E6" wp14:textId="77777777">
            <w:pPr>
              <w:jc w:val="center"/>
            </w:pPr>
            <w:r>
              <w:rPr>
                <w:rFonts w:ascii="Arial" w:hAnsi="Arial" w:eastAsia="Arial" w:cs="Arial"/>
                <w:b w:val="false"/>
                <w:bCs w:val="false"/>
                <w:color w:val="000000"/>
                <w:sz w:val="17"/>
                <w:szCs w:val="17"/>
              </w:rPr>
              <w:t xml:space="preserve">0.8968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8C4B474" wp14:textId="77777777">
            <w:pPr>
              <w:jc w:val="center"/>
            </w:pPr>
            <w:r>
              <w:rPr>
                <w:rFonts w:ascii="Arial" w:hAnsi="Arial" w:eastAsia="Arial" w:cs="Arial"/>
                <w:b w:val="false"/>
                <w:bCs w:val="false"/>
                <w:color w:val="000000"/>
                <w:sz w:val="17"/>
                <w:szCs w:val="17"/>
              </w:rPr>
              <w:t xml:space="preserve">0.9477</w:t>
            </w:r>
          </w:p>
        </w:tc>
      </w:tr>
      <w:tr xmlns:wp14="http://schemas.microsoft.com/office/word/2010/wordml" w:rsidTr="038D2D71" w14:paraId="5D003C11"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D7822E6" wp14:textId="77777777">
            <w:pPr>
              <w:jc w:val="center"/>
            </w:pPr>
            <w:r>
              <w:rPr>
                <w:rFonts w:ascii="Arial" w:hAnsi="Arial" w:eastAsia="Arial" w:cs="Arial"/>
                <w:b w:val="false"/>
                <w:bCs w:val="false"/>
                <w:color w:val="000000"/>
                <w:sz w:val="17"/>
                <w:szCs w:val="17"/>
              </w:rPr>
              <w:t xml:space="preserve">Soft-Voting Ensemble</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B960849" wp14:textId="77777777">
            <w:pPr>
              <w:jc w:val="center"/>
            </w:pPr>
            <w:r>
              <w:rPr>
                <w:rFonts w:ascii="Arial" w:hAnsi="Arial" w:eastAsia="Arial" w:cs="Arial"/>
                <w:b w:val="false"/>
                <w:bCs w:val="false"/>
                <w:color w:val="000000"/>
                <w:sz w:val="17"/>
                <w:szCs w:val="17"/>
              </w:rPr>
              <w:t xml:space="preserve">0.8905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07C5492" wp14:textId="77777777">
            <w:pPr>
              <w:jc w:val="center"/>
            </w:pPr>
            <w:r>
              <w:rPr>
                <w:rFonts w:ascii="Arial" w:hAnsi="Arial" w:eastAsia="Arial" w:cs="Arial"/>
                <w:b w:val="false"/>
                <w:bCs w:val="false"/>
                <w:color w:val="000000"/>
                <w:sz w:val="17"/>
                <w:szCs w:val="17"/>
              </w:rPr>
              <w:t xml:space="preserve">0.8028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EE6C2B9" wp14:textId="77777777">
            <w:pPr>
              <w:jc w:val="center"/>
            </w:pPr>
            <w:r>
              <w:rPr>
                <w:rFonts w:ascii="Arial" w:hAnsi="Arial" w:eastAsia="Arial" w:cs="Arial"/>
                <w:b w:val="false"/>
                <w:bCs w:val="false"/>
                <w:color w:val="000000"/>
                <w:sz w:val="17"/>
                <w:szCs w:val="17"/>
              </w:rPr>
              <w:t xml:space="preserve">0.8690</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8CB90E4" wp14:textId="77777777">
            <w:pPr>
              <w:jc w:val="center"/>
            </w:pPr>
            <w:r>
              <w:rPr>
                <w:rFonts w:ascii="Arial" w:hAnsi="Arial" w:eastAsia="Arial" w:cs="Arial"/>
                <w:b w:val="false"/>
                <w:bCs w:val="false"/>
                <w:color w:val="000000"/>
                <w:sz w:val="17"/>
                <w:szCs w:val="17"/>
              </w:rPr>
              <w:t xml:space="preserve">0.7974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B2C355B" wp14:textId="77777777">
            <w:pPr>
              <w:jc w:val="center"/>
            </w:pPr>
            <w:r>
              <w:rPr>
                <w:rFonts w:ascii="Arial" w:hAnsi="Arial" w:eastAsia="Arial" w:cs="Arial"/>
                <w:b w:val="false"/>
                <w:bCs w:val="false"/>
                <w:color w:val="000000"/>
                <w:sz w:val="17"/>
                <w:szCs w:val="17"/>
              </w:rPr>
              <w:t xml:space="preserve">0.8667</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AA64B7F" wp14:textId="77777777">
            <w:pPr>
              <w:jc w:val="center"/>
            </w:pPr>
            <w:r>
              <w:rPr>
                <w:rFonts w:ascii="Arial" w:hAnsi="Arial" w:eastAsia="Arial" w:cs="Arial"/>
                <w:b w:val="false"/>
                <w:bCs w:val="false"/>
                <w:color w:val="000000"/>
                <w:sz w:val="17"/>
                <w:szCs w:val="17"/>
              </w:rPr>
              <w:t xml:space="preserve">0.8908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F00014F" wp14:textId="77777777">
            <w:pPr>
              <w:jc w:val="center"/>
            </w:pPr>
            <w:r>
              <w:rPr>
                <w:rFonts w:ascii="Arial" w:hAnsi="Arial" w:eastAsia="Arial" w:cs="Arial"/>
                <w:b w:val="false"/>
                <w:bCs w:val="false"/>
                <w:color w:val="000000"/>
                <w:sz w:val="17"/>
                <w:szCs w:val="17"/>
              </w:rPr>
              <w:t xml:space="preserve">0.9515</w:t>
            </w:r>
          </w:p>
        </w:tc>
      </w:tr>
      <w:tr xmlns:wp14="http://schemas.microsoft.com/office/word/2010/wordml" w:rsidTr="038D2D71" w14:paraId="2DAA4001"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578218F" wp14:textId="77777777">
            <w:pPr>
              <w:jc w:val="center"/>
            </w:pPr>
            <w:r>
              <w:rPr>
                <w:rFonts w:ascii="Arial" w:hAnsi="Arial" w:eastAsia="Arial" w:cs="Arial"/>
                <w:b w:val="false"/>
                <w:bCs w:val="false"/>
                <w:color w:val="000000"/>
                <w:sz w:val="17"/>
                <w:szCs w:val="17"/>
              </w:rPr>
              <w:t xml:space="preserve">Logistic Regression</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2B656B8" wp14:textId="77777777">
            <w:pPr>
              <w:jc w:val="center"/>
            </w:pPr>
            <w:r>
              <w:rPr>
                <w:rFonts w:ascii="Arial" w:hAnsi="Arial" w:eastAsia="Arial" w:cs="Arial"/>
                <w:b w:val="false"/>
                <w:bCs w:val="false"/>
                <w:color w:val="000000"/>
                <w:sz w:val="17"/>
                <w:szCs w:val="17"/>
              </w:rPr>
              <w:t xml:space="preserve">0.9611</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AFAD9CE" wp14:textId="77777777">
            <w:pPr>
              <w:jc w:val="center"/>
            </w:pPr>
            <w:r>
              <w:rPr>
                <w:rFonts w:ascii="Arial" w:hAnsi="Arial" w:eastAsia="Arial" w:cs="Arial"/>
                <w:b w:val="false"/>
                <w:bCs w:val="false"/>
                <w:color w:val="000000"/>
                <w:sz w:val="17"/>
                <w:szCs w:val="17"/>
              </w:rPr>
              <w:t xml:space="preserve">0.7746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10D52EE" wp14:textId="77777777">
            <w:pPr>
              <w:jc w:val="center"/>
            </w:pPr>
            <w:r>
              <w:rPr>
                <w:rFonts w:ascii="Arial" w:hAnsi="Arial" w:eastAsia="Arial" w:cs="Arial"/>
                <w:b w:val="false"/>
                <w:bCs w:val="false"/>
                <w:color w:val="000000"/>
                <w:sz w:val="17"/>
                <w:szCs w:val="17"/>
              </w:rPr>
              <w:t xml:space="preserve">0.8095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D5F700A" wp14:textId="77777777">
            <w:pPr>
              <w:jc w:val="center"/>
            </w:pPr>
            <w:r>
              <w:rPr>
                <w:rFonts w:ascii="Arial" w:hAnsi="Arial" w:eastAsia="Arial" w:cs="Arial"/>
                <w:b w:val="false"/>
                <w:bCs w:val="false"/>
                <w:color w:val="000000"/>
                <w:sz w:val="17"/>
                <w:szCs w:val="17"/>
              </w:rPr>
              <w:t xml:space="preserve">0.7698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FFEC2EB" wp14:textId="77777777">
            <w:pPr>
              <w:jc w:val="center"/>
            </w:pPr>
            <w:r>
              <w:rPr>
                <w:rFonts w:ascii="Arial" w:hAnsi="Arial" w:eastAsia="Arial" w:cs="Arial"/>
                <w:b w:val="false"/>
                <w:bCs w:val="false"/>
                <w:color w:val="000000"/>
                <w:sz w:val="17"/>
                <w:szCs w:val="17"/>
              </w:rPr>
              <w:t xml:space="preserve">0.8095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F565565" wp14:textId="77777777">
            <w:pPr>
              <w:jc w:val="center"/>
            </w:pPr>
            <w:r>
              <w:rPr>
                <w:rFonts w:ascii="Arial" w:hAnsi="Arial" w:eastAsia="Arial" w:cs="Arial"/>
                <w:b w:val="false"/>
                <w:bCs w:val="false"/>
                <w:color w:val="000000"/>
                <w:sz w:val="17"/>
                <w:szCs w:val="17"/>
              </w:rPr>
              <w:t xml:space="preserve">0.8774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D991C50" wp14:textId="77777777">
            <w:pPr>
              <w:jc w:val="center"/>
            </w:pPr>
            <w:r>
              <w:rPr>
                <w:rFonts w:ascii="Arial" w:hAnsi="Arial" w:eastAsia="Arial" w:cs="Arial"/>
                <w:b w:val="false"/>
                <w:bCs w:val="false"/>
                <w:color w:val="000000"/>
                <w:sz w:val="17"/>
                <w:szCs w:val="17"/>
              </w:rPr>
              <w:t xml:space="preserve">0.9415</w:t>
            </w:r>
          </w:p>
        </w:tc>
      </w:tr>
      <w:tr xmlns:wp14="http://schemas.microsoft.com/office/word/2010/wordml" w:rsidTr="038D2D71" w14:paraId="73D3D137"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2E89FC3" wp14:textId="77777777">
            <w:pPr>
              <w:jc w:val="center"/>
            </w:pPr>
            <w:r>
              <w:rPr>
                <w:rFonts w:ascii="Arial" w:hAnsi="Arial" w:eastAsia="Arial" w:cs="Arial"/>
                <w:b w:val="false"/>
                <w:bCs w:val="false"/>
                <w:color w:val="000000"/>
                <w:sz w:val="17"/>
                <w:szCs w:val="17"/>
              </w:rPr>
              <w:t xml:space="preserve">Decision Tree</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D0A6B38" wp14:textId="77777777">
            <w:pPr>
              <w:jc w:val="center"/>
            </w:pPr>
            <w:r>
              <w:rPr>
                <w:rFonts w:ascii="Arial" w:hAnsi="Arial" w:eastAsia="Arial" w:cs="Arial"/>
                <w:b w:val="false"/>
                <w:bCs w:val="false"/>
                <w:color w:val="000000"/>
                <w:sz w:val="17"/>
                <w:szCs w:val="17"/>
              </w:rPr>
              <w:t xml:space="preserve">0.8339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ECBB9C9" wp14:textId="77777777">
            <w:pPr>
              <w:jc w:val="center"/>
            </w:pPr>
            <w:r>
              <w:rPr>
                <w:rFonts w:ascii="Arial" w:hAnsi="Arial" w:eastAsia="Arial" w:cs="Arial"/>
                <w:b w:val="false"/>
                <w:bCs w:val="false"/>
                <w:color w:val="000000"/>
                <w:sz w:val="17"/>
                <w:szCs w:val="17"/>
              </w:rPr>
              <w:t xml:space="preserve">0.7606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38AAEFA" wp14:textId="77777777">
            <w:pPr>
              <w:jc w:val="center"/>
            </w:pPr>
            <w:r>
              <w:rPr>
                <w:rFonts w:ascii="Arial" w:hAnsi="Arial" w:eastAsia="Arial" w:cs="Arial"/>
                <w:b w:val="false"/>
                <w:bCs w:val="false"/>
                <w:color w:val="000000"/>
                <w:sz w:val="17"/>
                <w:szCs w:val="17"/>
              </w:rPr>
              <w:t xml:space="preserve">0.6786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C774C98" wp14:textId="77777777">
            <w:pPr>
              <w:jc w:val="center"/>
            </w:pPr>
            <w:r>
              <w:rPr>
                <w:rFonts w:ascii="Arial" w:hAnsi="Arial" w:eastAsia="Arial" w:cs="Arial"/>
                <w:b w:val="false"/>
                <w:bCs w:val="false"/>
                <w:color w:val="000000"/>
                <w:sz w:val="17"/>
                <w:szCs w:val="17"/>
              </w:rPr>
              <w:t xml:space="preserve">0.7565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304C89E" wp14:textId="77777777">
            <w:pPr>
              <w:jc w:val="center"/>
            </w:pPr>
            <w:r>
              <w:rPr>
                <w:rFonts w:ascii="Arial" w:hAnsi="Arial" w:eastAsia="Arial" w:cs="Arial"/>
                <w:b w:val="false"/>
                <w:bCs w:val="false"/>
                <w:color w:val="000000"/>
                <w:sz w:val="17"/>
                <w:szCs w:val="17"/>
              </w:rPr>
              <w:t xml:space="preserve">0.6699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31D42D8" wp14:textId="77777777">
            <w:pPr>
              <w:jc w:val="center"/>
            </w:pPr>
            <w:r>
              <w:rPr>
                <w:rFonts w:ascii="Arial" w:hAnsi="Arial" w:eastAsia="Arial" w:cs="Arial"/>
                <w:b w:val="false"/>
                <w:bCs w:val="false"/>
                <w:color w:val="000000"/>
                <w:sz w:val="17"/>
                <w:szCs w:val="17"/>
              </w:rPr>
              <w:t xml:space="preserve">0.8585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E874358" wp14:textId="77777777">
            <w:pPr>
              <w:jc w:val="center"/>
            </w:pPr>
            <w:r>
              <w:rPr>
                <w:rFonts w:ascii="Arial" w:hAnsi="Arial" w:eastAsia="Arial" w:cs="Arial"/>
                <w:b w:val="false"/>
                <w:bCs w:val="false"/>
                <w:color w:val="000000"/>
                <w:sz w:val="17"/>
                <w:szCs w:val="17"/>
              </w:rPr>
              <w:t xml:space="preserve">0.9097</w:t>
            </w:r>
          </w:p>
        </w:tc>
      </w:tr>
      <w:tr xmlns:wp14="http://schemas.microsoft.com/office/word/2010/wordml" w:rsidTr="038D2D71" w14:paraId="028AAEE4"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32AD86D" wp14:textId="77777777">
            <w:pPr>
              <w:jc w:val="center"/>
            </w:pPr>
            <w:r>
              <w:rPr>
                <w:rFonts w:ascii="Arial" w:hAnsi="Arial" w:eastAsia="Arial" w:cs="Arial"/>
                <w:b w:val="false"/>
                <w:bCs w:val="false"/>
                <w:color w:val="000000"/>
                <w:sz w:val="17"/>
                <w:szCs w:val="17"/>
              </w:rPr>
              <w:t xml:space="preserve">Random Forest</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7839B4C" wp14:textId="77777777">
            <w:pPr>
              <w:jc w:val="center"/>
            </w:pPr>
            <w:r>
              <w:rPr>
                <w:rFonts w:ascii="Arial" w:hAnsi="Arial" w:eastAsia="Arial" w:cs="Arial"/>
                <w:b w:val="false"/>
                <w:bCs w:val="false"/>
                <w:color w:val="000000"/>
                <w:sz w:val="17"/>
                <w:szCs w:val="17"/>
              </w:rPr>
              <w:t xml:space="preserve">0.8269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E86856B" wp14:textId="77777777">
            <w:pPr>
              <w:jc w:val="center"/>
            </w:pPr>
            <w:r>
              <w:rPr>
                <w:rFonts w:ascii="Arial" w:hAnsi="Arial" w:eastAsia="Arial" w:cs="Arial"/>
                <w:b w:val="false"/>
                <w:bCs w:val="false"/>
                <w:color w:val="000000"/>
                <w:sz w:val="17"/>
                <w:szCs w:val="17"/>
              </w:rPr>
              <w:t xml:space="preserve">0.7606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B8BADF9" wp14:textId="77777777">
            <w:pPr>
              <w:jc w:val="center"/>
            </w:pPr>
            <w:r>
              <w:rPr>
                <w:rFonts w:ascii="Arial" w:hAnsi="Arial" w:eastAsia="Arial" w:cs="Arial"/>
                <w:b w:val="false"/>
                <w:bCs w:val="false"/>
                <w:color w:val="000000"/>
                <w:sz w:val="17"/>
                <w:szCs w:val="17"/>
              </w:rPr>
              <w:t xml:space="preserve">0.8690</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F4204AA" wp14:textId="77777777">
            <w:pPr>
              <w:jc w:val="center"/>
            </w:pPr>
            <w:r>
              <w:rPr>
                <w:rFonts w:ascii="Arial" w:hAnsi="Arial" w:eastAsia="Arial" w:cs="Arial"/>
                <w:b w:val="false"/>
                <w:bCs w:val="false"/>
                <w:color w:val="000000"/>
                <w:sz w:val="17"/>
                <w:szCs w:val="17"/>
              </w:rPr>
              <w:t xml:space="preserve">0.7535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9CAC4C7" wp14:textId="77777777">
            <w:pPr>
              <w:jc w:val="center"/>
            </w:pPr>
            <w:r>
              <w:rPr>
                <w:rFonts w:ascii="Arial" w:hAnsi="Arial" w:eastAsia="Arial" w:cs="Arial"/>
                <w:b w:val="false"/>
                <w:bCs w:val="false"/>
                <w:color w:val="000000"/>
                <w:sz w:val="17"/>
                <w:szCs w:val="17"/>
              </w:rPr>
              <w:t xml:space="preserve">0.8676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A00992B" wp14:textId="77777777">
            <w:pPr>
              <w:jc w:val="center"/>
            </w:pPr>
            <w:r>
              <w:rPr>
                <w:rFonts w:ascii="Arial" w:hAnsi="Arial" w:eastAsia="Arial" w:cs="Arial"/>
                <w:b w:val="false"/>
                <w:bCs w:val="false"/>
                <w:color w:val="000000"/>
                <w:sz w:val="17"/>
                <w:szCs w:val="17"/>
              </w:rPr>
              <w:t xml:space="preserve">0.8929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334C580" wp14:textId="77777777">
            <w:pPr>
              <w:jc w:val="center"/>
            </w:pPr>
            <w:r>
              <w:rPr>
                <w:rFonts w:ascii="Arial" w:hAnsi="Arial" w:eastAsia="Arial" w:cs="Arial"/>
                <w:b w:val="false"/>
                <w:bCs w:val="false"/>
                <w:color w:val="000000"/>
                <w:sz w:val="17"/>
                <w:szCs w:val="17"/>
              </w:rPr>
              <w:t xml:space="preserve">0.9541</w:t>
            </w:r>
          </w:p>
        </w:tc>
      </w:tr>
      <w:tr xmlns:wp14="http://schemas.microsoft.com/office/word/2010/wordml" w:rsidTr="038D2D71" w14:paraId="66E6328E"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BC6325C" wp14:textId="77777777">
            <w:pPr>
              <w:jc w:val="center"/>
            </w:pPr>
            <w:r w:rsidRPr="4CBB5BEB" w:rsidR="4CBB5BEB">
              <w:rPr>
                <w:rFonts w:ascii="Arial" w:hAnsi="Arial" w:eastAsia="Arial" w:cs="Arial"/>
                <w:b w:val="0"/>
                <w:bCs w:val="0"/>
                <w:color w:val="000000"/>
                <w:sz w:val="17"/>
                <w:szCs w:val="17"/>
                <w:lang w:val="en-US"/>
              </w:rPr>
              <w:t>LightGBM</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EE601FF" wp14:textId="77777777">
            <w:pPr>
              <w:jc w:val="center"/>
            </w:pPr>
            <w:r>
              <w:rPr>
                <w:rFonts w:ascii="Arial" w:hAnsi="Arial" w:eastAsia="Arial" w:cs="Arial"/>
                <w:b w:val="false"/>
                <w:bCs w:val="false"/>
                <w:color w:val="000000"/>
                <w:sz w:val="17"/>
                <w:szCs w:val="17"/>
              </w:rPr>
              <w:t xml:space="preserve">0.9788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AEDB458" wp14:textId="77777777">
            <w:pPr>
              <w:jc w:val="center"/>
            </w:pPr>
            <w:r>
              <w:rPr>
                <w:rFonts w:ascii="Arial" w:hAnsi="Arial" w:eastAsia="Arial" w:cs="Arial"/>
                <w:b w:val="false"/>
                <w:bCs w:val="false"/>
                <w:color w:val="000000"/>
                <w:sz w:val="17"/>
                <w:szCs w:val="17"/>
              </w:rPr>
              <w:t xml:space="preserve">0.7606</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E662872" wp14:textId="77777777">
            <w:pPr>
              <w:jc w:val="center"/>
            </w:pPr>
            <w:r>
              <w:rPr>
                <w:rFonts w:ascii="Arial" w:hAnsi="Arial" w:eastAsia="Arial" w:cs="Arial"/>
                <w:b w:val="false"/>
                <w:bCs w:val="false"/>
                <w:color w:val="000000"/>
                <w:sz w:val="17"/>
                <w:szCs w:val="17"/>
              </w:rPr>
              <w:t xml:space="preserve">0.8214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25E2E858" wp14:textId="77777777">
            <w:pPr>
              <w:jc w:val="center"/>
            </w:pPr>
            <w:r>
              <w:rPr>
                <w:rFonts w:ascii="Arial" w:hAnsi="Arial" w:eastAsia="Arial" w:cs="Arial"/>
                <w:b w:val="false"/>
                <w:bCs w:val="false"/>
                <w:color w:val="000000"/>
                <w:sz w:val="17"/>
                <w:szCs w:val="17"/>
              </w:rPr>
              <w:t xml:space="preserve">0.7455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DC45C91" wp14:textId="77777777">
            <w:pPr>
              <w:jc w:val="center"/>
            </w:pPr>
            <w:r>
              <w:rPr>
                <w:rFonts w:ascii="Arial" w:hAnsi="Arial" w:eastAsia="Arial" w:cs="Arial"/>
                <w:b w:val="false"/>
                <w:bCs w:val="false"/>
                <w:color w:val="000000"/>
                <w:sz w:val="17"/>
                <w:szCs w:val="17"/>
              </w:rPr>
              <w:t xml:space="preserve">0.8178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1912AEC" wp14:textId="77777777">
            <w:pPr>
              <w:jc w:val="center"/>
            </w:pPr>
            <w:r>
              <w:rPr>
                <w:rFonts w:ascii="Arial" w:hAnsi="Arial" w:eastAsia="Arial" w:cs="Arial"/>
                <w:b w:val="false"/>
                <w:bCs w:val="false"/>
                <w:color w:val="000000"/>
                <w:sz w:val="17"/>
                <w:szCs w:val="17"/>
              </w:rPr>
              <w:t xml:space="preserve">0.8950</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490FC68" wp14:textId="77777777">
            <w:pPr>
              <w:jc w:val="center"/>
            </w:pPr>
            <w:r>
              <w:rPr>
                <w:rFonts w:ascii="Arial" w:hAnsi="Arial" w:eastAsia="Arial" w:cs="Arial"/>
                <w:b w:val="false"/>
                <w:bCs w:val="false"/>
                <w:color w:val="000000"/>
                <w:sz w:val="17"/>
                <w:szCs w:val="17"/>
              </w:rPr>
              <w:t xml:space="preserve">0.9526</w:t>
            </w:r>
          </w:p>
        </w:tc>
      </w:tr>
      <w:tr xmlns:wp14="http://schemas.microsoft.com/office/word/2010/wordml" w:rsidTr="038D2D71" w14:paraId="17DFDF39"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59FAAAB" wp14:textId="77777777">
            <w:pPr>
              <w:jc w:val="center"/>
            </w:pPr>
            <w:r>
              <w:rPr>
                <w:rFonts w:ascii="Arial" w:hAnsi="Arial" w:eastAsia="Arial" w:cs="Arial"/>
                <w:b w:val="false"/>
                <w:bCs w:val="false"/>
                <w:color w:val="000000"/>
                <w:sz w:val="17"/>
                <w:szCs w:val="17"/>
              </w:rPr>
              <w:t xml:space="preserve">Naive Bayes</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E808C25" wp14:textId="77777777">
            <w:pPr>
              <w:jc w:val="center"/>
            </w:pPr>
            <w:r>
              <w:rPr>
                <w:rFonts w:ascii="Arial" w:hAnsi="Arial" w:eastAsia="Arial" w:cs="Arial"/>
                <w:b w:val="false"/>
                <w:bCs w:val="false"/>
                <w:color w:val="000000"/>
                <w:sz w:val="17"/>
                <w:szCs w:val="17"/>
              </w:rPr>
              <w:t xml:space="preserve">0.7244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EAFF2B6" wp14:textId="77777777">
            <w:pPr>
              <w:jc w:val="center"/>
            </w:pPr>
            <w:r>
              <w:rPr>
                <w:rFonts w:ascii="Arial" w:hAnsi="Arial" w:eastAsia="Arial" w:cs="Arial"/>
                <w:b w:val="false"/>
                <w:bCs w:val="false"/>
                <w:color w:val="000000"/>
                <w:sz w:val="17"/>
                <w:szCs w:val="17"/>
              </w:rPr>
              <w:t xml:space="preserve">0.7042</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F83D93A" wp14:textId="77777777">
            <w:pPr>
              <w:jc w:val="center"/>
            </w:pPr>
            <w:r>
              <w:rPr>
                <w:rFonts w:ascii="Arial" w:hAnsi="Arial" w:eastAsia="Arial" w:cs="Arial"/>
                <w:b w:val="false"/>
                <w:bCs w:val="false"/>
                <w:color w:val="000000"/>
                <w:sz w:val="17"/>
                <w:szCs w:val="17"/>
              </w:rPr>
              <w:t xml:space="preserve">0.7024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AFF29CA" wp14:textId="77777777">
            <w:pPr>
              <w:jc w:val="center"/>
            </w:pPr>
            <w:r>
              <w:rPr>
                <w:rFonts w:ascii="Arial" w:hAnsi="Arial" w:eastAsia="Arial" w:cs="Arial"/>
                <w:b w:val="false"/>
                <w:bCs w:val="false"/>
                <w:color w:val="000000"/>
                <w:sz w:val="17"/>
                <w:szCs w:val="17"/>
              </w:rPr>
              <w:t xml:space="preserve">0.6464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BFBCD87" wp14:textId="77777777">
            <w:pPr>
              <w:jc w:val="center"/>
            </w:pPr>
            <w:r>
              <w:rPr>
                <w:rFonts w:ascii="Arial" w:hAnsi="Arial" w:eastAsia="Arial" w:cs="Arial"/>
                <w:b w:val="false"/>
                <w:bCs w:val="false"/>
                <w:color w:val="000000"/>
                <w:sz w:val="17"/>
                <w:szCs w:val="17"/>
              </w:rPr>
              <w:t xml:space="preserve">0.6672</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9131358" wp14:textId="77777777">
            <w:pPr>
              <w:jc w:val="center"/>
            </w:pPr>
            <w:r>
              <w:rPr>
                <w:rFonts w:ascii="Arial" w:hAnsi="Arial" w:eastAsia="Arial" w:cs="Arial"/>
                <w:b w:val="false"/>
                <w:bCs w:val="false"/>
                <w:color w:val="000000"/>
                <w:sz w:val="17"/>
                <w:szCs w:val="17"/>
              </w:rPr>
              <w:t xml:space="preserve">0.7883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0368475" wp14:textId="77777777">
            <w:pPr>
              <w:jc w:val="center"/>
            </w:pPr>
            <w:r>
              <w:rPr>
                <w:rFonts w:ascii="Arial" w:hAnsi="Arial" w:eastAsia="Arial" w:cs="Arial"/>
                <w:b w:val="false"/>
                <w:bCs w:val="false"/>
                <w:color w:val="000000"/>
                <w:sz w:val="17"/>
                <w:szCs w:val="17"/>
              </w:rPr>
              <w:t xml:space="preserve">0.7583</w:t>
            </w:r>
          </w:p>
        </w:tc>
      </w:tr>
      <w:tr xmlns:wp14="http://schemas.microsoft.com/office/word/2010/wordml" w:rsidTr="038D2D71" w14:paraId="403BA7BB"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457F6AA" wp14:textId="77777777">
            <w:pPr>
              <w:jc w:val="center"/>
            </w:pPr>
            <w:r>
              <w:rPr>
                <w:rFonts w:ascii="Arial" w:hAnsi="Arial" w:eastAsia="Arial" w:cs="Arial"/>
                <w:b w:val="false"/>
                <w:bCs w:val="false"/>
                <w:color w:val="000000"/>
                <w:sz w:val="17"/>
                <w:szCs w:val="17"/>
              </w:rPr>
              <w:t xml:space="preserve">AdaBoost</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1811A9B" wp14:textId="77777777">
            <w:pPr>
              <w:jc w:val="center"/>
            </w:pPr>
            <w:r>
              <w:rPr>
                <w:rFonts w:ascii="Arial" w:hAnsi="Arial" w:eastAsia="Arial" w:cs="Arial"/>
                <w:b w:val="false"/>
                <w:bCs w:val="false"/>
                <w:color w:val="000000"/>
                <w:sz w:val="17"/>
                <w:szCs w:val="17"/>
              </w:rPr>
              <w:t xml:space="preserve">0.7032</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C08FCEE" wp14:textId="77777777">
            <w:pPr>
              <w:jc w:val="center"/>
            </w:pPr>
            <w:r>
              <w:rPr>
                <w:rFonts w:ascii="Arial" w:hAnsi="Arial" w:eastAsia="Arial" w:cs="Arial"/>
                <w:b w:val="false"/>
                <w:bCs w:val="false"/>
                <w:color w:val="000000"/>
                <w:sz w:val="17"/>
                <w:szCs w:val="17"/>
              </w:rPr>
              <w:t xml:space="preserve">0.6901</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993934A" wp14:textId="77777777">
            <w:pPr>
              <w:jc w:val="center"/>
            </w:pPr>
            <w:r>
              <w:rPr>
                <w:rFonts w:ascii="Arial" w:hAnsi="Arial" w:eastAsia="Arial" w:cs="Arial"/>
                <w:b w:val="false"/>
                <w:bCs w:val="false"/>
                <w:color w:val="000000"/>
                <w:sz w:val="17"/>
                <w:szCs w:val="17"/>
              </w:rPr>
              <w:t xml:space="preserve">0.7143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31A557B" wp14:textId="77777777">
            <w:pPr>
              <w:jc w:val="center"/>
            </w:pPr>
            <w:r>
              <w:rPr>
                <w:rFonts w:ascii="Arial" w:hAnsi="Arial" w:eastAsia="Arial" w:cs="Arial"/>
                <w:b w:val="false"/>
                <w:bCs w:val="false"/>
                <w:color w:val="000000"/>
                <w:sz w:val="17"/>
                <w:szCs w:val="17"/>
              </w:rPr>
              <w:t xml:space="preserve">0.5873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A73E545" wp14:textId="77777777">
            <w:pPr>
              <w:jc w:val="center"/>
            </w:pPr>
            <w:r>
              <w:rPr>
                <w:rFonts w:ascii="Arial" w:hAnsi="Arial" w:eastAsia="Arial" w:cs="Arial"/>
                <w:b w:val="false"/>
                <w:bCs w:val="false"/>
                <w:color w:val="000000"/>
                <w:sz w:val="17"/>
                <w:szCs w:val="17"/>
              </w:rPr>
              <w:t xml:space="preserve">0.6445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E6DF9F7" wp14:textId="77777777">
            <w:pPr>
              <w:jc w:val="center"/>
            </w:pPr>
            <w:r>
              <w:rPr>
                <w:rFonts w:ascii="Arial" w:hAnsi="Arial" w:eastAsia="Arial" w:cs="Arial"/>
                <w:b w:val="false"/>
                <w:bCs w:val="false"/>
                <w:color w:val="000000"/>
                <w:sz w:val="17"/>
                <w:szCs w:val="17"/>
              </w:rPr>
              <w:t xml:space="preserve">0.8313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C06DB41" wp14:textId="77777777">
            <w:pPr>
              <w:jc w:val="center"/>
            </w:pPr>
            <w:r>
              <w:rPr>
                <w:rFonts w:ascii="Arial" w:hAnsi="Arial" w:eastAsia="Arial" w:cs="Arial"/>
                <w:b w:val="false"/>
                <w:bCs w:val="false"/>
                <w:color w:val="000000"/>
                <w:sz w:val="17"/>
                <w:szCs w:val="17"/>
              </w:rPr>
              <w:t xml:space="preserve">0.8529</w:t>
            </w:r>
          </w:p>
        </w:tc>
      </w:tr>
      <w:tr xmlns:wp14="http://schemas.microsoft.com/office/word/2010/wordml" w:rsidTr="038D2D71" w14:paraId="6A2942DF"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E3C1C5D" wp14:textId="77777777">
            <w:pPr>
              <w:jc w:val="center"/>
            </w:pPr>
            <w:r>
              <w:rPr>
                <w:rFonts w:ascii="Arial" w:hAnsi="Arial" w:eastAsia="Arial" w:cs="Arial"/>
                <w:b w:val="false"/>
                <w:bCs w:val="false"/>
                <w:color w:val="000000"/>
                <w:sz w:val="17"/>
                <w:szCs w:val="17"/>
              </w:rPr>
              <w:t xml:space="preserve">Support Vector Machine</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4AD5D7B6" wp14:textId="77777777">
            <w:pPr>
              <w:jc w:val="center"/>
            </w:pPr>
            <w:r>
              <w:rPr>
                <w:rFonts w:ascii="Arial" w:hAnsi="Arial" w:eastAsia="Arial" w:cs="Arial"/>
                <w:b w:val="false"/>
                <w:bCs w:val="false"/>
                <w:color w:val="000000"/>
                <w:sz w:val="17"/>
                <w:szCs w:val="17"/>
              </w:rPr>
              <w:t xml:space="preserve">0.9152</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B4181E5" wp14:textId="77777777">
            <w:pPr>
              <w:jc w:val="center"/>
            </w:pPr>
            <w:r>
              <w:rPr>
                <w:rFonts w:ascii="Arial" w:hAnsi="Arial" w:eastAsia="Arial" w:cs="Arial"/>
                <w:b w:val="false"/>
                <w:bCs w:val="false"/>
                <w:color w:val="000000"/>
                <w:sz w:val="17"/>
                <w:szCs w:val="17"/>
              </w:rPr>
              <w:t xml:space="preserve">0.6620</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241C249" wp14:textId="77777777">
            <w:pPr>
              <w:jc w:val="center"/>
            </w:pPr>
            <w:r>
              <w:rPr>
                <w:rFonts w:ascii="Arial" w:hAnsi="Arial" w:eastAsia="Arial" w:cs="Arial"/>
                <w:b w:val="false"/>
                <w:bCs w:val="false"/>
                <w:color w:val="000000"/>
                <w:sz w:val="17"/>
                <w:szCs w:val="17"/>
              </w:rPr>
              <w:t xml:space="preserve">0.8333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64E9961C" wp14:textId="77777777">
            <w:pPr>
              <w:jc w:val="center"/>
            </w:pPr>
            <w:r>
              <w:rPr>
                <w:rFonts w:ascii="Arial" w:hAnsi="Arial" w:eastAsia="Arial" w:cs="Arial"/>
                <w:b w:val="false"/>
                <w:bCs w:val="false"/>
                <w:color w:val="000000"/>
                <w:sz w:val="17"/>
                <w:szCs w:val="17"/>
              </w:rPr>
              <w:t xml:space="preserve">0.6395</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513D5FC" wp14:textId="77777777">
            <w:pPr>
              <w:jc w:val="center"/>
            </w:pPr>
            <w:r>
              <w:rPr>
                <w:rFonts w:ascii="Arial" w:hAnsi="Arial" w:eastAsia="Arial" w:cs="Arial"/>
                <w:b w:val="false"/>
                <w:bCs w:val="false"/>
                <w:color w:val="000000"/>
                <w:sz w:val="17"/>
                <w:szCs w:val="17"/>
              </w:rPr>
              <w:t xml:space="preserve">0.8294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D5EC614" wp14:textId="77777777">
            <w:pPr>
              <w:jc w:val="center"/>
            </w:pPr>
            <w:r>
              <w:rPr>
                <w:rFonts w:ascii="Arial" w:hAnsi="Arial" w:eastAsia="Arial" w:cs="Arial"/>
                <w:b w:val="false"/>
                <w:bCs w:val="false"/>
                <w:color w:val="000000"/>
                <w:sz w:val="17"/>
                <w:szCs w:val="17"/>
              </w:rPr>
              <w:t xml:space="preserve">0.8659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60F8BC2" wp14:textId="77777777">
            <w:pPr>
              <w:jc w:val="center"/>
            </w:pPr>
            <w:r>
              <w:rPr>
                <w:rFonts w:ascii="Arial" w:hAnsi="Arial" w:eastAsia="Arial" w:cs="Arial"/>
                <w:b w:val="false"/>
                <w:bCs w:val="false"/>
                <w:color w:val="000000"/>
                <w:sz w:val="17"/>
                <w:szCs w:val="17"/>
              </w:rPr>
              <w:t xml:space="preserve">0.9732</w:t>
            </w:r>
          </w:p>
        </w:tc>
      </w:tr>
      <w:tr xmlns:wp14="http://schemas.microsoft.com/office/word/2010/wordml" w:rsidTr="038D2D71" w14:paraId="6A1BE5EC" wp14:textId="77777777">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8AA4333" wp14:textId="77777777">
            <w:pPr>
              <w:jc w:val="center"/>
            </w:pPr>
            <w:r>
              <w:rPr>
                <w:rFonts w:ascii="Arial" w:hAnsi="Arial" w:eastAsia="Arial" w:cs="Arial"/>
                <w:b w:val="false"/>
                <w:bCs w:val="false"/>
                <w:color w:val="000000"/>
                <w:sz w:val="17"/>
                <w:szCs w:val="17"/>
              </w:rPr>
              <w:t xml:space="preserve">K-Nearest Neighbors</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391BDFCB" wp14:textId="77777777">
            <w:pPr>
              <w:jc w:val="center"/>
            </w:pPr>
            <w:r>
              <w:rPr>
                <w:rFonts w:ascii="Arial" w:hAnsi="Arial" w:eastAsia="Arial" w:cs="Arial"/>
                <w:b w:val="false"/>
                <w:bCs w:val="false"/>
                <w:color w:val="000000"/>
                <w:sz w:val="17"/>
                <w:szCs w:val="17"/>
              </w:rPr>
              <w:t xml:space="preserve">0.7703</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0213FBFF" wp14:textId="77777777">
            <w:pPr>
              <w:jc w:val="center"/>
            </w:pPr>
            <w:r>
              <w:rPr>
                <w:rFonts w:ascii="Arial" w:hAnsi="Arial" w:eastAsia="Arial" w:cs="Arial"/>
                <w:b w:val="false"/>
                <w:bCs w:val="false"/>
                <w:color w:val="000000"/>
                <w:sz w:val="17"/>
                <w:szCs w:val="17"/>
              </w:rPr>
              <w:t xml:space="preserve">0.6338</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21A71B2" wp14:textId="77777777">
            <w:pPr>
              <w:jc w:val="center"/>
            </w:pPr>
            <w:r>
              <w:rPr>
                <w:rFonts w:ascii="Arial" w:hAnsi="Arial" w:eastAsia="Arial" w:cs="Arial"/>
                <w:b w:val="false"/>
                <w:bCs w:val="false"/>
                <w:color w:val="000000"/>
                <w:sz w:val="17"/>
                <w:szCs w:val="17"/>
              </w:rPr>
              <w:t xml:space="preserve">0.7381</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8492422" wp14:textId="77777777">
            <w:pPr>
              <w:jc w:val="center"/>
            </w:pPr>
            <w:r>
              <w:rPr>
                <w:rFonts w:ascii="Arial" w:hAnsi="Arial" w:eastAsia="Arial" w:cs="Arial"/>
                <w:b w:val="false"/>
                <w:bCs w:val="false"/>
                <w:color w:val="000000"/>
                <w:sz w:val="17"/>
                <w:szCs w:val="17"/>
              </w:rPr>
              <w:t xml:space="preserve">0.6279</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1C8DB548" wp14:textId="77777777">
            <w:pPr>
              <w:jc w:val="center"/>
            </w:pPr>
            <w:r>
              <w:rPr>
                <w:rFonts w:ascii="Arial" w:hAnsi="Arial" w:eastAsia="Arial" w:cs="Arial"/>
                <w:b w:val="false"/>
                <w:bCs w:val="false"/>
                <w:color w:val="000000"/>
                <w:sz w:val="17"/>
                <w:szCs w:val="17"/>
              </w:rPr>
              <w:t xml:space="preserve">0.7294</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5E30ADFF" wp14:textId="77777777">
            <w:pPr>
              <w:jc w:val="center"/>
            </w:pPr>
            <w:r>
              <w:rPr>
                <w:rFonts w:ascii="Arial" w:hAnsi="Arial" w:eastAsia="Arial" w:cs="Arial"/>
                <w:b w:val="false"/>
                <w:bCs w:val="false"/>
                <w:color w:val="000000"/>
                <w:sz w:val="17"/>
                <w:szCs w:val="17"/>
              </w:rPr>
              <w:t xml:space="preserve">0.7602</w:t>
            </w:r>
          </w:p>
        </w:tc>
        <w:tc>
          <w:tcPr>
            <w:tcBorders>
              <w:top w:val="single" w:color="AAAAAA" w:sz="1"/>
              <w:left w:val="single" w:color="AAAAAA" w:sz="1"/>
              <w:bottom w:val="single" w:color="AAAAAA" w:sz="1"/>
              <w:right w:val="single" w:color="AAAAAA" w:sz="1"/>
            </w:tcBorders>
            <w:shd w:val="clear" w:color="auto" w:fill="FFFFFF"/>
            <w:tcMar>
              <w:top w:w="60" w:type="dxa"/>
              <w:left w:w="100" w:type="dxa"/>
              <w:bottom w:w="60" w:type="dxa"/>
              <w:right w:w="100" w:type="dxa"/>
            </w:tcMar>
          </w:tcPr>
          <w:p w14:paraId="727DA9C1" wp14:textId="77777777">
            <w:pPr>
              <w:jc w:val="center"/>
            </w:pPr>
            <w:r>
              <w:rPr>
                <w:rFonts w:ascii="Arial" w:hAnsi="Arial" w:eastAsia="Arial" w:cs="Arial"/>
                <w:b w:val="false"/>
                <w:bCs w:val="false"/>
                <w:color w:val="000000"/>
                <w:sz w:val="17"/>
                <w:szCs w:val="17"/>
              </w:rPr>
              <w:t xml:space="preserve">0.8928</w:t>
            </w:r>
          </w:p>
        </w:tc>
      </w:tr>
    </w:tbl>
    <w:p xmlns:wp14="http://schemas.microsoft.com/office/word/2010/wordml" w14:paraId="3B870457" wp14:textId="77777777">
      <w:pPr>
        <w:spacing w:before="80" w:after="200"/>
        <w:jc w:val="center"/>
      </w:pPr>
      <w:r>
        <w:rPr>
          <w:rFonts w:ascii="Arial" w:hAnsi="Arial" w:eastAsia="Arial" w:cs="Arial"/>
          <w:i/>
          <w:iCs/>
          <w:sz w:val="22"/>
          <w:szCs w:val="22"/>
        </w:rPr>
        <w:t xml:space="preserve">Acc: Accuracy; F1: Weighted F1-Score; AUC: One-vs-Rest ROC-AUC. Bold denotes best validation performance. LODO = Leave-One-Drug-Out unseen holdout.</w:t>
      </w:r>
    </w:p>
    <w:p xmlns:wp14="http://schemas.microsoft.com/office/word/2010/wordml" w14:paraId="194F939E" wp14:textId="77777777">
      <w:pPr>
        <w:spacing w:before="120" w:after="120"/>
        <w:jc w:val="both"/>
      </w:pPr>
      <w:r w:rsidRPr="4CBB5BEB" w:rsidR="4CBB5BEB">
        <w:rPr>
          <w:rFonts w:ascii="Arial" w:hAnsi="Arial" w:eastAsia="Arial" w:cs="Arial"/>
          <w:sz w:val="22"/>
          <w:szCs w:val="22"/>
          <w:lang w:val="en-US"/>
        </w:rPr>
        <w:t xml:space="preserve">Notably, Support Vector Machine </w:t>
      </w:r>
      <w:r w:rsidRPr="4CBB5BEB" w:rsidR="4CBB5BEB">
        <w:rPr>
          <w:rFonts w:ascii="Arial" w:hAnsi="Arial" w:eastAsia="Arial" w:cs="Arial"/>
          <w:sz w:val="22"/>
          <w:szCs w:val="22"/>
          <w:lang w:val="en-US"/>
        </w:rPr>
        <w:t>exhibits</w:t>
      </w:r>
      <w:r w:rsidRPr="4CBB5BEB" w:rsidR="4CBB5BEB">
        <w:rPr>
          <w:rFonts w:ascii="Arial" w:hAnsi="Arial" w:eastAsia="Arial" w:cs="Arial"/>
          <w:sz w:val="22"/>
          <w:szCs w:val="22"/>
          <w:lang w:val="en-US"/>
        </w:rPr>
        <w:t xml:space="preserve"> a substantial validation–unseen discrepancy (Val Acc 66.2% vs Unseen Acc 83.3%), suggesting sensitivity to the specific stratified validation fold. </w:t>
      </w:r>
      <w:r w:rsidRPr="4CBB5BEB" w:rsidR="4CBB5BEB">
        <w:rPr>
          <w:rFonts w:ascii="Arial" w:hAnsi="Arial" w:eastAsia="Arial" w:cs="Arial"/>
          <w:sz w:val="22"/>
          <w:szCs w:val="22"/>
          <w:lang w:val="en-US"/>
        </w:rPr>
        <w:t>LightGBM</w:t>
      </w:r>
      <w:r w:rsidRPr="4CBB5BEB" w:rsidR="4CBB5BEB">
        <w:rPr>
          <w:rFonts w:ascii="Arial" w:hAnsi="Arial" w:eastAsia="Arial" w:cs="Arial"/>
          <w:sz w:val="22"/>
          <w:szCs w:val="22"/>
          <w:lang w:val="en-US"/>
        </w:rPr>
        <w:t xml:space="preserve"> demonstrates the highest training accuracy of 97.9% but shows a meaningful train-to-validation gap of 21.8 percentage points, indicative of residual overfitting despite </w:t>
      </w:r>
      <w:r w:rsidRPr="4CBB5BEB" w:rsidR="4CBB5BEB">
        <w:rPr>
          <w:rFonts w:ascii="Arial" w:hAnsi="Arial" w:eastAsia="Arial" w:cs="Arial"/>
          <w:sz w:val="22"/>
          <w:szCs w:val="22"/>
          <w:lang w:val="en-US"/>
        </w:rPr>
        <w:t>regularisation</w:t>
      </w:r>
      <w:r w:rsidRPr="4CBB5BEB" w:rsidR="4CBB5BEB">
        <w:rPr>
          <w:rFonts w:ascii="Arial" w:hAnsi="Arial" w:eastAsia="Arial" w:cs="Arial"/>
          <w:sz w:val="22"/>
          <w:szCs w:val="22"/>
          <w:lang w:val="en-US"/>
        </w:rPr>
        <w:t xml:space="preserve">. Naive Bayes and AdaBoost show the lowest overall performance (LODO Acc ~70–71%), consistent with their inability to model the high-dimensional, non-linear manifold defined by 512-bit fingerprint features. Decision Tree </w:t>
      </w:r>
      <w:r w:rsidRPr="4CBB5BEB" w:rsidR="4CBB5BEB">
        <w:rPr>
          <w:rFonts w:ascii="Arial" w:hAnsi="Arial" w:eastAsia="Arial" w:cs="Arial"/>
          <w:sz w:val="22"/>
          <w:szCs w:val="22"/>
          <w:lang w:val="en-US"/>
        </w:rPr>
        <w:t>generalises</w:t>
      </w:r>
      <w:r w:rsidRPr="4CBB5BEB" w:rsidR="4CBB5BEB">
        <w:rPr>
          <w:rFonts w:ascii="Arial" w:hAnsi="Arial" w:eastAsia="Arial" w:cs="Arial"/>
          <w:sz w:val="22"/>
          <w:szCs w:val="22"/>
          <w:lang w:val="en-US"/>
        </w:rPr>
        <w:t xml:space="preserve"> poorly to the LODO set (LODO Acc 67.9%), confirming that shallow single-tree models </w:t>
      </w:r>
      <w:r w:rsidRPr="4CBB5BEB" w:rsidR="4CBB5BEB">
        <w:rPr>
          <w:rFonts w:ascii="Arial" w:hAnsi="Arial" w:eastAsia="Arial" w:cs="Arial"/>
          <w:sz w:val="22"/>
          <w:szCs w:val="22"/>
          <w:lang w:val="en-US"/>
        </w:rPr>
        <w:t>memorise</w:t>
      </w:r>
      <w:r w:rsidRPr="4CBB5BEB" w:rsidR="4CBB5BEB">
        <w:rPr>
          <w:rFonts w:ascii="Arial" w:hAnsi="Arial" w:eastAsia="Arial" w:cs="Arial"/>
          <w:sz w:val="22"/>
          <w:szCs w:val="22"/>
          <w:lang w:val="en-US"/>
        </w:rPr>
        <w:t xml:space="preserve"> training scaffold-specific patterns rather than learning transferable structural rules.</w:t>
      </w:r>
    </w:p>
    <w:p xmlns:wp14="http://schemas.microsoft.com/office/word/2010/wordml" w14:paraId="69FE87B5" wp14:textId="77777777">
      <w:pPr>
        <w:pStyle w:val="Heading2"/>
        <w:spacing w:before="240" w:after="120"/>
      </w:pPr>
      <w:r>
        <w:rPr>
          <w:rFonts w:ascii="Arial" w:hAnsi="Arial" w:eastAsia="Arial" w:cs="Arial"/>
          <w:b/>
          <w:bCs/>
          <w:color w:val="2E5396"/>
          <w:sz w:val="24"/>
          <w:szCs w:val="24"/>
        </w:rPr>
        <w:t xml:space="preserve">3.2 Confusion Matrix Analysis</w:t>
      </w:r>
    </w:p>
    <w:p xmlns:wp14="http://schemas.microsoft.com/office/word/2010/wordml" w14:paraId="37B60179" wp14:textId="77777777">
      <w:pPr>
        <w:spacing w:before="200" w:after="80"/>
      </w:pPr>
      <w:r w:rsidRPr="038D2D71" w:rsidR="038D2D71">
        <w:rPr>
          <w:rFonts w:ascii="Arial" w:hAnsi="Arial" w:eastAsia="Arial" w:cs="Arial"/>
          <w:b w:val="1"/>
          <w:bCs w:val="1"/>
          <w:sz w:val="22"/>
          <w:szCs w:val="22"/>
        </w:rPr>
        <w:t>Figure 3 — Confusion Matrix (Validation and LODO Unseen Sets)</w:t>
      </w:r>
    </w:p>
    <w:p w:rsidR="11154A50" w:rsidP="038D2D71" w:rsidRDefault="11154A50" w14:paraId="3047C102" w14:textId="42113749">
      <w:pPr>
        <w:pStyle w:val="Normal"/>
        <w:spacing w:before="200" w:after="80"/>
      </w:pPr>
      <w:r w:rsidR="11154A50">
        <w:drawing>
          <wp:inline wp14:editId="276EBE85" wp14:anchorId="7AEAFFB7">
            <wp:extent cx="5943600" cy="2409825"/>
            <wp:effectExtent l="0" t="0" r="0" b="0"/>
            <wp:docPr id="2001380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380742" name="Picture 2001380742"/>
                    <pic:cNvPicPr/>
                  </pic:nvPicPr>
                  <pic:blipFill>
                    <a:blip xmlns:r="http://schemas.openxmlformats.org/officeDocument/2006/relationships" r:embed="rId787166554">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xmlns:wp14="http://schemas.microsoft.com/office/word/2010/wordml" w14:paraId="55E60081" wp14:textId="50C18CEC">
      <w:pPr>
        <w:spacing w:before="80" w:after="200"/>
        <w:jc w:val="center"/>
      </w:pPr>
      <w:r w:rsidRPr="038D2D71" w:rsidR="4CBB5BEB">
        <w:rPr>
          <w:rFonts w:ascii="Arial" w:hAnsi="Arial" w:eastAsia="Arial" w:cs="Arial"/>
          <w:i w:val="1"/>
          <w:iCs w:val="1"/>
          <w:color w:val="444444"/>
          <w:sz w:val="20"/>
          <w:szCs w:val="20"/>
          <w:lang w:val="en-US"/>
        </w:rPr>
        <w:t xml:space="preserve">Fig. 3. </w:t>
      </w:r>
      <w:r w:rsidRPr="038D2D71" w:rsidR="4CBB5BEB">
        <w:rPr>
          <w:rFonts w:ascii="Arial" w:hAnsi="Arial" w:eastAsia="Arial" w:cs="Arial"/>
          <w:i w:val="1"/>
          <w:iCs w:val="1"/>
          <w:color w:val="444444"/>
          <w:sz w:val="20"/>
          <w:szCs w:val="20"/>
          <w:lang w:val="en-US"/>
        </w:rPr>
        <w:t>Normalised</w:t>
      </w:r>
      <w:r w:rsidRPr="038D2D71" w:rsidR="4CBB5BEB">
        <w:rPr>
          <w:rFonts w:ascii="Arial" w:hAnsi="Arial" w:eastAsia="Arial" w:cs="Arial"/>
          <w:i w:val="1"/>
          <w:iCs w:val="1"/>
          <w:color w:val="444444"/>
          <w:sz w:val="20"/>
          <w:szCs w:val="20"/>
          <w:lang w:val="en-US"/>
        </w:rPr>
        <w:t xml:space="preserve"> confusion matrices for the Soft-Voting Ensemble. </w:t>
      </w:r>
    </w:p>
    <w:p xmlns:wp14="http://schemas.microsoft.com/office/word/2010/wordml" w14:paraId="56D7248D" wp14:textId="77777777">
      <w:pPr>
        <w:spacing w:before="120" w:after="120"/>
        <w:jc w:val="both"/>
      </w:pPr>
      <w:r w:rsidRPr="4CBB5BEB" w:rsidR="4CBB5BEB">
        <w:rPr>
          <w:rFonts w:ascii="Arial" w:hAnsi="Arial" w:eastAsia="Arial" w:cs="Arial"/>
          <w:sz w:val="22"/>
          <w:szCs w:val="22"/>
          <w:lang w:val="en-US"/>
        </w:rPr>
        <w:t xml:space="preserve">The confusion matrices reveal two key patterns. First, the Critical interaction class (index 2) achieves perfect recall on the LODO unseen set—all 28 Critical pairs are correctly identified with zero false negatives—an outcome of paramount clinical importance, as failure to detect a critical interaction could result in fatal drug toxicity or therapeutic failure. Second, the primary error mode is Neutral–Moderate confusion: 5 Neutral pairs are misclassified as Moderate and 4 Moderate pairs as Neutral in the LODO set. This boundary blurring reflects the inherent ambiguity in the 20–35% bioavailability change zone that defines Moderate </w:t>
      </w:r>
      <w:r w:rsidRPr="4CBB5BEB" w:rsidR="4CBB5BEB">
        <w:rPr>
          <w:rFonts w:ascii="Arial" w:hAnsi="Arial" w:eastAsia="Arial" w:cs="Arial"/>
          <w:sz w:val="22"/>
          <w:szCs w:val="22"/>
          <w:lang w:val="en-US"/>
        </w:rPr>
        <w:t>interactions, and</w:t>
      </w:r>
      <w:r w:rsidRPr="4CBB5BEB" w:rsidR="4CBB5BEB">
        <w:rPr>
          <w:rFonts w:ascii="Arial" w:hAnsi="Arial" w:eastAsia="Arial" w:cs="Arial"/>
          <w:sz w:val="22"/>
          <w:szCs w:val="22"/>
          <w:lang w:val="en-US"/>
        </w:rPr>
        <w:t xml:space="preserve"> suggests that future refinements could incorporate continuous bioavailability change </w:t>
      </w:r>
      <w:r w:rsidRPr="4CBB5BEB" w:rsidR="4CBB5BEB">
        <w:rPr>
          <w:rFonts w:ascii="Arial" w:hAnsi="Arial" w:eastAsia="Arial" w:cs="Arial"/>
          <w:sz w:val="22"/>
          <w:szCs w:val="22"/>
          <w:lang w:val="en-US"/>
        </w:rPr>
        <w:t>magnitude</w:t>
      </w:r>
      <w:r w:rsidRPr="4CBB5BEB" w:rsidR="4CBB5BEB">
        <w:rPr>
          <w:rFonts w:ascii="Arial" w:hAnsi="Arial" w:eastAsia="Arial" w:cs="Arial"/>
          <w:sz w:val="22"/>
          <w:szCs w:val="22"/>
          <w:lang w:val="en-US"/>
        </w:rPr>
        <w:t xml:space="preserve"> as an auxiliary supervision signal to sharpen this decision boundary.</w:t>
      </w:r>
    </w:p>
    <w:p xmlns:wp14="http://schemas.microsoft.com/office/word/2010/wordml" w14:paraId="6CCB87B1" wp14:textId="77777777">
      <w:pPr>
        <w:pStyle w:val="Heading2"/>
        <w:spacing w:before="240" w:after="120"/>
      </w:pPr>
      <w:r>
        <w:rPr>
          <w:rFonts w:ascii="Arial" w:hAnsi="Arial" w:eastAsia="Arial" w:cs="Arial"/>
          <w:b/>
          <w:bCs/>
          <w:color w:val="2E5396"/>
          <w:sz w:val="24"/>
          <w:szCs w:val="24"/>
        </w:rPr>
        <w:t xml:space="preserve">3.3 Per-Class ROC-AUC Analysis</w:t>
      </w:r>
    </w:p>
    <w:p xmlns:wp14="http://schemas.microsoft.com/office/word/2010/wordml" w14:paraId="7B3391F0" wp14:textId="77777777">
      <w:pPr>
        <w:spacing w:before="200" w:after="80"/>
      </w:pPr>
      <w:r w:rsidRPr="038D2D71" w:rsidR="038D2D71">
        <w:rPr>
          <w:rFonts w:ascii="Arial" w:hAnsi="Arial" w:eastAsia="Arial" w:cs="Arial"/>
          <w:b w:val="1"/>
          <w:bCs w:val="1"/>
          <w:sz w:val="22"/>
          <w:szCs w:val="22"/>
        </w:rPr>
        <w:t>Figure 4 — Per-Class ROC Curves and Model Benchmarking Heatmap</w:t>
      </w:r>
    </w:p>
    <w:p w:rsidR="30E6B1A7" w:rsidP="038D2D71" w:rsidRDefault="30E6B1A7" w14:paraId="057ED317" w14:textId="2C4B92BC">
      <w:pPr>
        <w:pStyle w:val="Normal"/>
        <w:spacing w:before="200" w:after="80"/>
      </w:pPr>
      <w:r w:rsidR="30E6B1A7">
        <w:drawing>
          <wp:inline wp14:editId="2FF1D25D" wp14:anchorId="2740D4B0">
            <wp:extent cx="5943600" cy="1905000"/>
            <wp:effectExtent l="0" t="0" r="0" b="0"/>
            <wp:docPr id="390132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132767" name="Picture 390132767"/>
                    <pic:cNvPicPr/>
                  </pic:nvPicPr>
                  <pic:blipFill>
                    <a:blip xmlns:r="http://schemas.openxmlformats.org/officeDocument/2006/relationships" r:embed="rId1241569667">
                      <a:extLst>
                        <a:ext uri="{28A0092B-C50C-407E-A947-70E740481C1C}">
                          <a14:useLocalDpi xmlns:a14="http://schemas.microsoft.com/office/drawing/2010/main"/>
                        </a:ext>
                      </a:extLst>
                    </a:blip>
                    <a:stretch>
                      <a:fillRect/>
                    </a:stretch>
                  </pic:blipFill>
                  <pic:spPr>
                    <a:xfrm rot="0">
                      <a:off x="0" y="0"/>
                      <a:ext cx="5943600" cy="1905000"/>
                    </a:xfrm>
                    <a:prstGeom prst="rect">
                      <a:avLst/>
                    </a:prstGeom>
                  </pic:spPr>
                </pic:pic>
              </a:graphicData>
            </a:graphic>
          </wp:inline>
        </w:drawing>
      </w:r>
    </w:p>
    <w:p w:rsidR="6656AFE7" w:rsidP="038D2D71" w:rsidRDefault="6656AFE7" w14:paraId="51AE7838" w14:textId="700FE7D1">
      <w:pPr>
        <w:pStyle w:val="Normal"/>
        <w:spacing w:before="200" w:after="80"/>
      </w:pPr>
      <w:r w:rsidR="6656AFE7">
        <w:drawing>
          <wp:inline wp14:editId="7DA21B9E" wp14:anchorId="54CAE280">
            <wp:extent cx="5943600" cy="4438650"/>
            <wp:effectExtent l="0" t="0" r="0" b="0"/>
            <wp:docPr id="1658059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059283" name="Picture 1658059283"/>
                    <pic:cNvPicPr/>
                  </pic:nvPicPr>
                  <pic:blipFill>
                    <a:blip xmlns:r="http://schemas.openxmlformats.org/officeDocument/2006/relationships" r:embed="rId1256159176">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p>
    <w:p xmlns:wp14="http://schemas.microsoft.com/office/word/2010/wordml" w:rsidP="038D2D71" w14:paraId="4B148FD4" wp14:textId="235BBBA9">
      <w:pPr>
        <w:spacing w:before="80" w:after="200"/>
        <w:jc w:val="center"/>
        <w:rPr>
          <w:rFonts w:ascii="Arial" w:hAnsi="Arial" w:eastAsia="Arial" w:cs="Arial"/>
          <w:i w:val="1"/>
          <w:iCs w:val="1"/>
          <w:color w:val="444444"/>
          <w:sz w:val="20"/>
          <w:szCs w:val="20"/>
          <w:lang w:val="en-US"/>
        </w:rPr>
      </w:pPr>
      <w:r w:rsidRPr="038D2D71" w:rsidR="4CBB5BEB">
        <w:rPr>
          <w:rFonts w:ascii="Arial" w:hAnsi="Arial" w:eastAsia="Arial" w:cs="Arial"/>
          <w:i w:val="1"/>
          <w:iCs w:val="1"/>
          <w:color w:val="444444"/>
          <w:sz w:val="20"/>
          <w:szCs w:val="20"/>
          <w:lang w:val="en-US"/>
        </w:rPr>
        <w:t xml:space="preserve">Fig. 4. Left: One-vs-rest ROC curves per risk class. </w:t>
      </w:r>
    </w:p>
    <w:p xmlns:wp14="http://schemas.microsoft.com/office/word/2010/wordml" w14:paraId="040BAD9B" wp14:textId="77777777">
      <w:pPr>
        <w:spacing w:before="120" w:after="120"/>
        <w:jc w:val="both"/>
      </w:pPr>
      <w:r>
        <w:rPr>
          <w:rFonts w:ascii="Arial" w:hAnsi="Arial" w:eastAsia="Arial" w:cs="Arial"/>
          <w:sz w:val="22"/>
          <w:szCs w:val="22"/>
        </w:rPr>
        <w:t xml:space="preserve">The Critical class achieves the highest per-class ROC-AUC across all evaluation splits. For the Soft-Voting Ensemble, the LODO ROC-AUC for Critical vs. Rest is 0.9515, compared to 0.8908 on the validation set, again consistent with the LODO set's balanced class composition and the model's strong discrimination of structurally distinct drug–food pairs. The Moderate class presents the lowest AUC across most models, corroborating the confusion matrix finding that Moderate–Neutral boundary misclassification is the dominant error mode. The performance heatmap (right panel, Fig. 4) reveals that Random Forest achieves the highest unseen AUC of </w:t>
      </w:r>
      <w:r>
        <w:rPr>
          <w:rFonts w:ascii="Arial" w:hAnsi="Arial" w:eastAsia="Arial" w:cs="Arial"/>
          <w:b/>
          <w:bCs/>
          <w:sz w:val="22"/>
          <w:szCs w:val="22"/>
        </w:rPr>
        <w:t xml:space="preserve">0.9541</w:t>
      </w:r>
      <w:r>
        <w:rPr>
          <w:rFonts w:ascii="Arial" w:hAnsi="Arial" w:eastAsia="Arial" w:cs="Arial"/>
          <w:sz w:val="22"/>
          <w:szCs w:val="22"/>
        </w:rPr>
        <w:t xml:space="preserve">, marginally exceeding the Soft-Voting Ensemble (0.9515), while SVM achieves the highest unseen AUC of all models (0.9732), suggesting that kernel methods may leverage the high-dimensional fingerprint space more efficiently despite lower overall accuracy, potentially due to the discontinuous class boundary structure introduced by the LODO split.</w:t>
      </w:r>
    </w:p>
    <w:p xmlns:wp14="http://schemas.microsoft.com/office/word/2010/wordml" w14:paraId="1D62F3DF" wp14:textId="77777777">
      <w:pPr>
        <w:pStyle w:val="Heading2"/>
        <w:spacing w:before="240" w:after="120"/>
      </w:pPr>
      <w:r w:rsidRPr="038D2D71" w:rsidR="038D2D71">
        <w:rPr>
          <w:rFonts w:ascii="Arial" w:hAnsi="Arial" w:eastAsia="Arial" w:cs="Arial"/>
          <w:b w:val="1"/>
          <w:bCs w:val="1"/>
          <w:color w:val="2E5396"/>
          <w:sz w:val="24"/>
          <w:szCs w:val="24"/>
        </w:rPr>
        <w:t>3.4 Regression Performance and Bioavailability Change Prediction</w:t>
      </w:r>
    </w:p>
    <w:p w:rsidR="038D2D71" w:rsidP="038D2D71" w:rsidRDefault="038D2D71" w14:paraId="13BD590F" w14:textId="55B890B0">
      <w:pPr>
        <w:pStyle w:val="Normal"/>
      </w:pPr>
    </w:p>
    <w:p xmlns:wp14="http://schemas.microsoft.com/office/word/2010/wordml" w14:paraId="25954C92" wp14:textId="77777777">
      <w:pPr>
        <w:spacing w:before="200" w:after="80"/>
        <w:jc w:val="center"/>
      </w:pPr>
      <w:r w:rsidRPr="4CBB5BEB" w:rsidR="4CBB5BEB">
        <w:rPr>
          <w:rFonts w:ascii="Arial" w:hAnsi="Arial" w:eastAsia="Arial" w:cs="Arial"/>
          <w:b w:val="1"/>
          <w:bCs w:val="1"/>
          <w:sz w:val="20"/>
          <w:szCs w:val="20"/>
          <w:lang w:val="en-US"/>
        </w:rPr>
        <w:t xml:space="preserve">Table 2. </w:t>
      </w:r>
      <w:r w:rsidRPr="4CBB5BEB" w:rsidR="4CBB5BEB">
        <w:rPr>
          <w:rFonts w:ascii="Arial" w:hAnsi="Arial" w:eastAsia="Arial" w:cs="Arial"/>
          <w:b w:val="1"/>
          <w:bCs w:val="1"/>
          <w:sz w:val="20"/>
          <w:szCs w:val="20"/>
          <w:lang w:val="en-US"/>
        </w:rPr>
        <w:t>LightGBM</w:t>
      </w:r>
      <w:r w:rsidRPr="4CBB5BEB" w:rsidR="4CBB5BEB">
        <w:rPr>
          <w:rFonts w:ascii="Arial" w:hAnsi="Arial" w:eastAsia="Arial" w:cs="Arial"/>
          <w:b w:val="1"/>
          <w:bCs w:val="1"/>
          <w:sz w:val="20"/>
          <w:szCs w:val="20"/>
          <w:lang w:val="en-US"/>
        </w:rPr>
        <w:t xml:space="preserve"> Regression Metrics — Percentage Bioavailability Change Prediction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766548A6" wp14:textId="77777777">
        <w:trPr>
          <w:tblHeader/>
        </w:trPr>
        <w:tc>
          <w:tcPr>
            <w:tcBorders>
              <w:top w:val="single" w:color="AAAAAA" w:sz="1"/>
              <w:left w:val="single" w:color="AAAAAA" w:sz="1"/>
              <w:bottom w:val="single" w:color="AAAAAA" w:sz="1"/>
              <w:right w:val="single" w:color="AAAAAA" w:sz="1"/>
            </w:tcBorders>
            <w:shd w:val="clear" w:fill="2E5396"/>
            <w:tcMar>
              <w:top w:w="60" w:type="dxa"/>
              <w:left w:w="100" w:type="dxa"/>
              <w:bottom w:w="60" w:type="dxa"/>
              <w:right w:w="100" w:type="dxa"/>
            </w:tcMar>
          </w:tcPr>
          <w:p w14:paraId="30B142A6" wp14:textId="77777777">
            <w:pPr>
              <w:jc w:val="center"/>
            </w:pPr>
            <w:r>
              <w:rPr>
                <w:rFonts w:ascii="Arial" w:hAnsi="Arial" w:eastAsia="Arial" w:cs="Arial"/>
                <w:b/>
                <w:bCs/>
                <w:color w:val="FFFFFF"/>
                <w:sz w:val="19"/>
                <w:szCs w:val="19"/>
              </w:rPr>
              <w:t xml:space="preserve">Split</w:t>
            </w:r>
          </w:p>
        </w:tc>
        <w:tc>
          <w:tcPr>
            <w:tcBorders>
              <w:top w:val="single" w:color="AAAAAA" w:sz="1"/>
              <w:left w:val="single" w:color="AAAAAA" w:sz="1"/>
              <w:bottom w:val="single" w:color="AAAAAA" w:sz="1"/>
              <w:right w:val="single" w:color="AAAAAA" w:sz="1"/>
            </w:tcBorders>
            <w:shd w:val="clear" w:fill="2E5396"/>
            <w:tcMar>
              <w:top w:w="60" w:type="dxa"/>
              <w:left w:w="100" w:type="dxa"/>
              <w:bottom w:w="60" w:type="dxa"/>
              <w:right w:w="100" w:type="dxa"/>
            </w:tcMar>
          </w:tcPr>
          <w:p w14:paraId="5594E781" wp14:textId="77777777">
            <w:pPr>
              <w:jc w:val="center"/>
            </w:pPr>
            <w:r>
              <w:rPr>
                <w:rFonts w:ascii="Arial" w:hAnsi="Arial" w:eastAsia="Arial" w:cs="Arial"/>
                <w:b/>
                <w:bCs/>
                <w:color w:val="FFFFFF"/>
                <w:sz w:val="19"/>
                <w:szCs w:val="19"/>
              </w:rPr>
              <w:t xml:space="preserve">RMSE</w:t>
            </w:r>
          </w:p>
        </w:tc>
        <w:tc>
          <w:tcPr>
            <w:tcBorders>
              <w:top w:val="single" w:color="AAAAAA" w:sz="1"/>
              <w:left w:val="single" w:color="AAAAAA" w:sz="1"/>
              <w:bottom w:val="single" w:color="AAAAAA" w:sz="1"/>
              <w:right w:val="single" w:color="AAAAAA" w:sz="1"/>
            </w:tcBorders>
            <w:shd w:val="clear" w:fill="2E5396"/>
            <w:tcMar>
              <w:top w:w="60" w:type="dxa"/>
              <w:left w:w="100" w:type="dxa"/>
              <w:bottom w:w="60" w:type="dxa"/>
              <w:right w:w="100" w:type="dxa"/>
            </w:tcMar>
          </w:tcPr>
          <w:p w14:paraId="32746905" wp14:textId="77777777">
            <w:pPr>
              <w:jc w:val="center"/>
            </w:pPr>
            <w:r>
              <w:rPr>
                <w:rFonts w:ascii="Arial" w:hAnsi="Arial" w:eastAsia="Arial" w:cs="Arial"/>
                <w:b/>
                <w:bCs/>
                <w:color w:val="FFFFFF"/>
                <w:sz w:val="19"/>
                <w:szCs w:val="19"/>
              </w:rPr>
              <w:t xml:space="preserve">MAE</w:t>
            </w:r>
          </w:p>
        </w:tc>
        <w:tc>
          <w:tcPr>
            <w:tcBorders>
              <w:top w:val="single" w:color="AAAAAA" w:sz="1"/>
              <w:left w:val="single" w:color="AAAAAA" w:sz="1"/>
              <w:bottom w:val="single" w:color="AAAAAA" w:sz="1"/>
              <w:right w:val="single" w:color="AAAAAA" w:sz="1"/>
            </w:tcBorders>
            <w:shd w:val="clear" w:fill="2E5396"/>
            <w:tcMar>
              <w:top w:w="60" w:type="dxa"/>
              <w:left w:w="100" w:type="dxa"/>
              <w:bottom w:w="60" w:type="dxa"/>
              <w:right w:w="100" w:type="dxa"/>
            </w:tcMar>
          </w:tcPr>
          <w:p w14:paraId="751F7A0C" wp14:textId="77777777">
            <w:pPr>
              <w:jc w:val="center"/>
            </w:pPr>
            <w:r>
              <w:rPr>
                <w:rFonts w:ascii="Arial" w:hAnsi="Arial" w:eastAsia="Arial" w:cs="Arial"/>
                <w:b/>
                <w:bCs/>
                <w:color w:val="FFFFFF"/>
                <w:sz w:val="19"/>
                <w:szCs w:val="19"/>
              </w:rPr>
              <w:t xml:space="preserve">R²</w:t>
            </w:r>
          </w:p>
        </w:tc>
      </w:tr>
      <w:tr xmlns:wp14="http://schemas.microsoft.com/office/word/2010/wordml" w14:paraId="2F2E2A86" wp14:textId="77777777">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7731D3AB" wp14:textId="77777777">
            <w:pPr>
              <w:jc w:val="center"/>
            </w:pPr>
            <w:r>
              <w:rPr>
                <w:rFonts w:ascii="Arial" w:hAnsi="Arial" w:eastAsia="Arial" w:cs="Arial"/>
                <w:b w:val="false"/>
                <w:bCs w:val="false"/>
                <w:color w:val="000000"/>
                <w:sz w:val="19"/>
                <w:szCs w:val="19"/>
              </w:rPr>
              <w:t xml:space="preserve">Train</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488C1875" wp14:textId="77777777">
            <w:pPr>
              <w:jc w:val="center"/>
            </w:pPr>
            <w:r>
              <w:rPr>
                <w:rFonts w:ascii="Arial" w:hAnsi="Arial" w:eastAsia="Arial" w:cs="Arial"/>
                <w:b w:val="false"/>
                <w:bCs w:val="false"/>
                <w:color w:val="000000"/>
                <w:sz w:val="19"/>
                <w:szCs w:val="19"/>
              </w:rPr>
              <w:t xml:space="preserve">6.2604</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1E1C44A3" wp14:textId="77777777">
            <w:pPr>
              <w:jc w:val="center"/>
            </w:pPr>
            <w:r>
              <w:rPr>
                <w:rFonts w:ascii="Arial" w:hAnsi="Arial" w:eastAsia="Arial" w:cs="Arial"/>
                <w:b w:val="false"/>
                <w:bCs w:val="false"/>
                <w:color w:val="000000"/>
                <w:sz w:val="19"/>
                <w:szCs w:val="19"/>
              </w:rPr>
              <w:t xml:space="preserve">4.0180</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7533971C" wp14:textId="77777777">
            <w:pPr>
              <w:jc w:val="center"/>
            </w:pPr>
            <w:r>
              <w:rPr>
                <w:rFonts w:ascii="Arial" w:hAnsi="Arial" w:eastAsia="Arial" w:cs="Arial"/>
                <w:b w:val="false"/>
                <w:bCs w:val="false"/>
                <w:color w:val="000000"/>
                <w:sz w:val="19"/>
                <w:szCs w:val="19"/>
              </w:rPr>
              <w:t xml:space="preserve">0.9552</w:t>
            </w:r>
          </w:p>
        </w:tc>
      </w:tr>
      <w:tr xmlns:wp14="http://schemas.microsoft.com/office/word/2010/wordml" w14:paraId="2A78B0E7" wp14:textId="77777777">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6D9C0E21" wp14:textId="77777777">
            <w:pPr>
              <w:jc w:val="center"/>
            </w:pPr>
            <w:r>
              <w:rPr>
                <w:rFonts w:ascii="Arial" w:hAnsi="Arial" w:eastAsia="Arial" w:cs="Arial"/>
                <w:b w:val="false"/>
                <w:bCs w:val="false"/>
                <w:color w:val="000000"/>
                <w:sz w:val="19"/>
                <w:szCs w:val="19"/>
              </w:rPr>
              <w:t xml:space="preserve">Validation</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6879E1A3" wp14:textId="77777777">
            <w:pPr>
              <w:jc w:val="center"/>
            </w:pPr>
            <w:r>
              <w:rPr>
                <w:rFonts w:ascii="Arial" w:hAnsi="Arial" w:eastAsia="Arial" w:cs="Arial"/>
                <w:b w:val="false"/>
                <w:bCs w:val="false"/>
                <w:color w:val="000000"/>
                <w:sz w:val="19"/>
                <w:szCs w:val="19"/>
              </w:rPr>
              <w:t xml:space="preserve">22.4861</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67B39F79" wp14:textId="77777777">
            <w:pPr>
              <w:jc w:val="center"/>
            </w:pPr>
            <w:r>
              <w:rPr>
                <w:rFonts w:ascii="Arial" w:hAnsi="Arial" w:eastAsia="Arial" w:cs="Arial"/>
                <w:b w:val="false"/>
                <w:bCs w:val="false"/>
                <w:color w:val="000000"/>
                <w:sz w:val="19"/>
                <w:szCs w:val="19"/>
              </w:rPr>
              <w:t xml:space="preserve">17.3290</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65EEF028" wp14:textId="77777777">
            <w:pPr>
              <w:jc w:val="center"/>
            </w:pPr>
            <w:r>
              <w:rPr>
                <w:rFonts w:ascii="Arial" w:hAnsi="Arial" w:eastAsia="Arial" w:cs="Arial"/>
                <w:b w:val="false"/>
                <w:bCs w:val="false"/>
                <w:color w:val="000000"/>
                <w:sz w:val="19"/>
                <w:szCs w:val="19"/>
              </w:rPr>
              <w:t xml:space="preserve">0.4091</w:t>
            </w:r>
          </w:p>
        </w:tc>
      </w:tr>
      <w:tr xmlns:wp14="http://schemas.microsoft.com/office/word/2010/wordml" w14:paraId="5C6C969D" wp14:textId="77777777">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769493B6" wp14:textId="77777777">
            <w:pPr>
              <w:jc w:val="center"/>
            </w:pPr>
            <w:r>
              <w:rPr>
                <w:rFonts w:ascii="Arial" w:hAnsi="Arial" w:eastAsia="Arial" w:cs="Arial"/>
                <w:b w:val="false"/>
                <w:bCs w:val="false"/>
                <w:color w:val="000000"/>
                <w:sz w:val="19"/>
                <w:szCs w:val="19"/>
              </w:rPr>
              <w:t xml:space="preserve">Unseen (LODO)</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42E59A63" wp14:textId="77777777">
            <w:pPr>
              <w:jc w:val="center"/>
            </w:pPr>
            <w:r>
              <w:rPr>
                <w:rFonts w:ascii="Arial" w:hAnsi="Arial" w:eastAsia="Arial" w:cs="Arial"/>
                <w:b w:val="false"/>
                <w:bCs w:val="false"/>
                <w:color w:val="000000"/>
                <w:sz w:val="19"/>
                <w:szCs w:val="19"/>
              </w:rPr>
              <w:t xml:space="preserve">20.5662</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47FA13DB" wp14:textId="77777777">
            <w:pPr>
              <w:jc w:val="center"/>
            </w:pPr>
            <w:r>
              <w:rPr>
                <w:rFonts w:ascii="Arial" w:hAnsi="Arial" w:eastAsia="Arial" w:cs="Arial"/>
                <w:b w:val="false"/>
                <w:bCs w:val="false"/>
                <w:color w:val="000000"/>
                <w:sz w:val="19"/>
                <w:szCs w:val="19"/>
              </w:rPr>
              <w:t xml:space="preserve">15.9350</w:t>
            </w:r>
          </w:p>
        </w:tc>
        <w:tc>
          <w:tcPr>
            <w:tcBorders>
              <w:top w:val="single" w:color="AAAAAA" w:sz="1"/>
              <w:left w:val="single" w:color="AAAAAA" w:sz="1"/>
              <w:bottom w:val="single" w:color="AAAAAA" w:sz="1"/>
              <w:right w:val="single" w:color="AAAAAA" w:sz="1"/>
            </w:tcBorders>
            <w:shd w:val="clear" w:fill="FFFFFF"/>
            <w:tcMar>
              <w:top w:w="60" w:type="dxa"/>
              <w:left w:w="100" w:type="dxa"/>
              <w:bottom w:w="60" w:type="dxa"/>
              <w:right w:w="100" w:type="dxa"/>
            </w:tcMar>
          </w:tcPr>
          <w:p w14:paraId="408CEAA2" wp14:textId="77777777">
            <w:pPr>
              <w:jc w:val="center"/>
            </w:pPr>
            <w:r>
              <w:rPr>
                <w:rFonts w:ascii="Arial" w:hAnsi="Arial" w:eastAsia="Arial" w:cs="Arial"/>
                <w:b w:val="false"/>
                <w:bCs w:val="false"/>
                <w:color w:val="000000"/>
                <w:sz w:val="19"/>
                <w:szCs w:val="19"/>
              </w:rPr>
              <w:t xml:space="preserve">0.4416</w:t>
            </w:r>
          </w:p>
        </w:tc>
      </w:tr>
    </w:tbl>
    <w:p xmlns:wp14="http://schemas.microsoft.com/office/word/2010/wordml" w14:paraId="54410DA1" wp14:textId="77777777">
      <w:pPr>
        <w:spacing w:before="80" w:after="200"/>
        <w:jc w:val="center"/>
      </w:pPr>
      <w:r>
        <w:rPr>
          <w:rFonts w:ascii="Arial" w:hAnsi="Arial" w:eastAsia="Arial" w:cs="Arial"/>
          <w:i/>
          <w:iCs/>
          <w:sz w:val="22"/>
          <w:szCs w:val="22"/>
        </w:rPr>
        <w:t xml:space="preserve">RMSE and MAE in percentage points. R²: coefficient of determination.</w:t>
      </w:r>
    </w:p>
    <w:p xmlns:wp14="http://schemas.microsoft.com/office/word/2010/wordml" w14:paraId="3A9923C7" wp14:textId="77777777">
      <w:pPr>
        <w:spacing w:before="200" w:after="80"/>
      </w:pPr>
      <w:r>
        <w:rPr>
          <w:rFonts w:ascii="Arial" w:hAnsi="Arial" w:eastAsia="Arial" w:cs="Arial"/>
          <w:b/>
          <w:bCs/>
          <w:sz w:val="22"/>
          <w:szCs w:val="22"/>
        </w:rPr>
        <w:t xml:space="preserve">Figure 5 — Regression Scatter and Residual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CBB5BEB" w14:paraId="1647421E" wp14:textId="77777777">
        <w:tc>
          <w:tcPr>
            <w:tcW w:w="9360" w:type="dxa"/>
            <w:tcBorders>
              <w:top w:val="dashed" w:color="999999" w:sz="2"/>
              <w:left w:val="dashed" w:color="999999" w:sz="2"/>
              <w:bottom w:val="dashed" w:color="999999" w:sz="2"/>
              <w:right w:val="dashed" w:color="999999" w:sz="2"/>
            </w:tcBorders>
            <w:shd w:val="clear" w:color="auto" w:fill="F5F5F5"/>
            <w:tcMar>
              <w:top w:w="200" w:type="dxa"/>
              <w:left w:w="300" w:type="dxa"/>
              <w:bottom w:w="200" w:type="dxa"/>
              <w:right w:w="300" w:type="dxa"/>
            </w:tcMar>
          </w:tcPr>
          <w:p w14:paraId="5CCC3677" wp14:textId="77777777">
            <w:pPr>
              <w:jc w:val="center"/>
            </w:pPr>
            <w:r w:rsidRPr="4CBB5BEB" w:rsidR="4CBB5BEB">
              <w:rPr>
                <w:rFonts w:ascii="Arial" w:hAnsi="Arial" w:eastAsia="Arial" w:cs="Arial"/>
                <w:i w:val="1"/>
                <w:iCs w:val="1"/>
                <w:color w:val="666666"/>
                <w:sz w:val="20"/>
                <w:szCs w:val="20"/>
                <w:lang w:val="en-US"/>
              </w:rPr>
              <w:t>[ FIGURE 5 PLACEHOLDER: Two-panel figure. Left: Scatter plot of Predicted vs</w:t>
            </w:r>
            <w:r w:rsidRPr="4CBB5BEB" w:rsidR="4CBB5BEB">
              <w:rPr>
                <w:rFonts w:ascii="Arial" w:hAnsi="Arial" w:eastAsia="Arial" w:cs="Arial"/>
                <w:i w:val="1"/>
                <w:iCs w:val="1"/>
                <w:color w:val="666666"/>
                <w:sz w:val="20"/>
                <w:szCs w:val="20"/>
                <w:lang w:val="en-US"/>
              </w:rPr>
              <w:t xml:space="preserve"> Actual</w:t>
            </w:r>
            <w:r w:rsidRPr="4CBB5BEB" w:rsidR="4CBB5BEB">
              <w:rPr>
                <w:rFonts w:ascii="Arial" w:hAnsi="Arial" w:eastAsia="Arial" w:cs="Arial"/>
                <w:i w:val="1"/>
                <w:iCs w:val="1"/>
                <w:color w:val="666666"/>
                <w:sz w:val="20"/>
                <w:szCs w:val="20"/>
                <w:lang w:val="en-US"/>
              </w:rPr>
              <w:t xml:space="preserve"> % bioavailability </w:t>
            </w:r>
            <w:r w:rsidRPr="4CBB5BEB" w:rsidR="4CBB5BEB">
              <w:rPr>
                <w:rFonts w:ascii="Arial" w:hAnsi="Arial" w:eastAsia="Arial" w:cs="Arial"/>
                <w:i w:val="1"/>
                <w:iCs w:val="1"/>
                <w:color w:val="666666"/>
                <w:sz w:val="20"/>
                <w:szCs w:val="20"/>
                <w:lang w:val="en-US"/>
              </w:rPr>
              <w:t>change</w:t>
            </w:r>
            <w:r w:rsidRPr="4CBB5BEB" w:rsidR="4CBB5BEB">
              <w:rPr>
                <w:rFonts w:ascii="Arial" w:hAnsi="Arial" w:eastAsia="Arial" w:cs="Arial"/>
                <w:i w:val="1"/>
                <w:iCs w:val="1"/>
                <w:color w:val="666666"/>
                <w:sz w:val="20"/>
                <w:szCs w:val="20"/>
                <w:lang w:val="en-US"/>
              </w:rPr>
              <w:t xml:space="preserve"> with </w:t>
            </w:r>
            <w:r w:rsidRPr="4CBB5BEB" w:rsidR="4CBB5BEB">
              <w:rPr>
                <w:rFonts w:ascii="Arial" w:hAnsi="Arial" w:eastAsia="Arial" w:cs="Arial"/>
                <w:i w:val="1"/>
                <w:iCs w:val="1"/>
                <w:color w:val="666666"/>
                <w:sz w:val="20"/>
                <w:szCs w:val="20"/>
                <w:lang w:val="en-US"/>
              </w:rPr>
              <w:t>darkorange</w:t>
            </w:r>
            <w:r w:rsidRPr="4CBB5BEB" w:rsidR="4CBB5BEB">
              <w:rPr>
                <w:rFonts w:ascii="Arial" w:hAnsi="Arial" w:eastAsia="Arial" w:cs="Arial"/>
                <w:i w:val="1"/>
                <w:iCs w:val="1"/>
                <w:color w:val="666666"/>
                <w:sz w:val="20"/>
                <w:szCs w:val="20"/>
                <w:lang w:val="en-US"/>
              </w:rPr>
              <w:t xml:space="preserve"> markers (Validation) and green triangle markers (LODO Unseen)</w:t>
            </w:r>
            <w:r w:rsidRPr="4CBB5BEB" w:rsidR="4CBB5BEB">
              <w:rPr>
                <w:rFonts w:ascii="Arial" w:hAnsi="Arial" w:eastAsia="Arial" w:cs="Arial"/>
                <w:i w:val="1"/>
                <w:iCs w:val="1"/>
                <w:color w:val="666666"/>
                <w:sz w:val="20"/>
                <w:szCs w:val="20"/>
                <w:lang w:val="en-US"/>
              </w:rPr>
              <w:t>, identity</w:t>
            </w:r>
            <w:r w:rsidRPr="4CBB5BEB" w:rsidR="4CBB5BEB">
              <w:rPr>
                <w:rFonts w:ascii="Arial" w:hAnsi="Arial" w:eastAsia="Arial" w:cs="Arial"/>
                <w:i w:val="1"/>
                <w:iCs w:val="1"/>
                <w:color w:val="666666"/>
                <w:sz w:val="20"/>
                <w:szCs w:val="20"/>
                <w:lang w:val="en-US"/>
              </w:rPr>
              <w:t xml:space="preserve"> line, axis limits [min-5, max+5]. Right: Two-panel histogram of regression residuals (Predicted - Actual) for Validation and LODO Unseen sets, with red dashed zero line and blue dash-dot mean line</w:t>
            </w:r>
            <w:r w:rsidRPr="4CBB5BEB" w:rsidR="4CBB5BEB">
              <w:rPr>
                <w:rFonts w:ascii="Arial" w:hAnsi="Arial" w:eastAsia="Arial" w:cs="Arial"/>
                <w:i w:val="1"/>
                <w:iCs w:val="1"/>
                <w:color w:val="666666"/>
                <w:sz w:val="20"/>
                <w:szCs w:val="20"/>
                <w:lang w:val="en-US"/>
              </w:rPr>
              <w:t>. ]</w:t>
            </w:r>
          </w:p>
        </w:tc>
      </w:tr>
    </w:tbl>
    <w:p xmlns:wp14="http://schemas.microsoft.com/office/word/2010/wordml" w14:paraId="0C19ADB7" wp14:textId="77777777">
      <w:pPr>
        <w:spacing w:before="80" w:after="200"/>
        <w:jc w:val="center"/>
      </w:pPr>
      <w:r w:rsidRPr="4CBB5BEB" w:rsidR="4CBB5BEB">
        <w:rPr>
          <w:rFonts w:ascii="Arial" w:hAnsi="Arial" w:eastAsia="Arial" w:cs="Arial"/>
          <w:i w:val="1"/>
          <w:iCs w:val="1"/>
          <w:color w:val="444444"/>
          <w:sz w:val="20"/>
          <w:szCs w:val="20"/>
          <w:lang w:val="en-US"/>
        </w:rPr>
        <w:t xml:space="preserve">Fig. 5. Left: Predicted versus actual percentage bioavailability change for the </w:t>
      </w:r>
      <w:r w:rsidRPr="4CBB5BEB" w:rsidR="4CBB5BEB">
        <w:rPr>
          <w:rFonts w:ascii="Arial" w:hAnsi="Arial" w:eastAsia="Arial" w:cs="Arial"/>
          <w:i w:val="1"/>
          <w:iCs w:val="1"/>
          <w:color w:val="444444"/>
          <w:sz w:val="20"/>
          <w:szCs w:val="20"/>
          <w:lang w:val="en-US"/>
        </w:rPr>
        <w:t>LightGBM</w:t>
      </w:r>
      <w:r w:rsidRPr="4CBB5BEB" w:rsidR="4CBB5BEB">
        <w:rPr>
          <w:rFonts w:ascii="Arial" w:hAnsi="Arial" w:eastAsia="Arial" w:cs="Arial"/>
          <w:i w:val="1"/>
          <w:iCs w:val="1"/>
          <w:color w:val="444444"/>
          <w:sz w:val="20"/>
          <w:szCs w:val="20"/>
          <w:lang w:val="en-US"/>
        </w:rPr>
        <w:t xml:space="preserve"> regressor. The near-perfect training fit (R² = 0.955) contrasts with validation (R² = 0.409) and LODO </w:t>
      </w:r>
      <w:r w:rsidRPr="4CBB5BEB" w:rsidR="4CBB5BEB">
        <w:rPr>
          <w:rFonts w:ascii="Arial" w:hAnsi="Arial" w:eastAsia="Arial" w:cs="Arial"/>
          <w:i w:val="1"/>
          <w:iCs w:val="1"/>
          <w:color w:val="444444"/>
          <w:sz w:val="20"/>
          <w:szCs w:val="20"/>
          <w:lang w:val="en-US"/>
        </w:rPr>
        <w:t>generalisation</w:t>
      </w:r>
      <w:r w:rsidRPr="4CBB5BEB" w:rsidR="4CBB5BEB">
        <w:rPr>
          <w:rFonts w:ascii="Arial" w:hAnsi="Arial" w:eastAsia="Arial" w:cs="Arial"/>
          <w:i w:val="1"/>
          <w:iCs w:val="1"/>
          <w:color w:val="444444"/>
          <w:sz w:val="20"/>
          <w:szCs w:val="20"/>
          <w:lang w:val="en-US"/>
        </w:rPr>
        <w:t xml:space="preserve"> (R² = 0.442), </w:t>
      </w:r>
      <w:r w:rsidRPr="4CBB5BEB" w:rsidR="4CBB5BEB">
        <w:rPr>
          <w:rFonts w:ascii="Arial" w:hAnsi="Arial" w:eastAsia="Arial" w:cs="Arial"/>
          <w:i w:val="1"/>
          <w:iCs w:val="1"/>
          <w:color w:val="444444"/>
          <w:sz w:val="20"/>
          <w:szCs w:val="20"/>
          <w:lang w:val="en-US"/>
        </w:rPr>
        <w:t>indicating</w:t>
      </w:r>
      <w:r w:rsidRPr="4CBB5BEB" w:rsidR="4CBB5BEB">
        <w:rPr>
          <w:rFonts w:ascii="Arial" w:hAnsi="Arial" w:eastAsia="Arial" w:cs="Arial"/>
          <w:i w:val="1"/>
          <w:iCs w:val="1"/>
          <w:color w:val="444444"/>
          <w:sz w:val="20"/>
          <w:szCs w:val="20"/>
          <w:lang w:val="en-US"/>
        </w:rPr>
        <w:t xml:space="preserve"> non-trivial </w:t>
      </w:r>
      <w:r w:rsidRPr="4CBB5BEB" w:rsidR="4CBB5BEB">
        <w:rPr>
          <w:rFonts w:ascii="Arial" w:hAnsi="Arial" w:eastAsia="Arial" w:cs="Arial"/>
          <w:i w:val="1"/>
          <w:iCs w:val="1"/>
          <w:color w:val="444444"/>
          <w:sz w:val="20"/>
          <w:szCs w:val="20"/>
          <w:lang w:val="en-US"/>
        </w:rPr>
        <w:t>generalisation</w:t>
      </w:r>
      <w:r w:rsidRPr="4CBB5BEB" w:rsidR="4CBB5BEB">
        <w:rPr>
          <w:rFonts w:ascii="Arial" w:hAnsi="Arial" w:eastAsia="Arial" w:cs="Arial"/>
          <w:i w:val="1"/>
          <w:iCs w:val="1"/>
          <w:color w:val="444444"/>
          <w:sz w:val="20"/>
          <w:szCs w:val="20"/>
          <w:lang w:val="en-US"/>
        </w:rPr>
        <w:t xml:space="preserve"> of continuous bioavailability </w:t>
      </w:r>
      <w:r w:rsidRPr="4CBB5BEB" w:rsidR="4CBB5BEB">
        <w:rPr>
          <w:rFonts w:ascii="Arial" w:hAnsi="Arial" w:eastAsia="Arial" w:cs="Arial"/>
          <w:i w:val="1"/>
          <w:iCs w:val="1"/>
          <w:color w:val="444444"/>
          <w:sz w:val="20"/>
          <w:szCs w:val="20"/>
          <w:lang w:val="en-US"/>
        </w:rPr>
        <w:t>magnitude</w:t>
      </w:r>
      <w:r w:rsidRPr="4CBB5BEB" w:rsidR="4CBB5BEB">
        <w:rPr>
          <w:rFonts w:ascii="Arial" w:hAnsi="Arial" w:eastAsia="Arial" w:cs="Arial"/>
          <w:i w:val="1"/>
          <w:iCs w:val="1"/>
          <w:color w:val="444444"/>
          <w:sz w:val="20"/>
          <w:szCs w:val="20"/>
          <w:lang w:val="en-US"/>
        </w:rPr>
        <w:t xml:space="preserve"> prediction. Right: Residual distributions showing approximately zero-</w:t>
      </w:r>
      <w:r w:rsidRPr="4CBB5BEB" w:rsidR="4CBB5BEB">
        <w:rPr>
          <w:rFonts w:ascii="Arial" w:hAnsi="Arial" w:eastAsia="Arial" w:cs="Arial"/>
          <w:i w:val="1"/>
          <w:iCs w:val="1"/>
          <w:color w:val="444444"/>
          <w:sz w:val="20"/>
          <w:szCs w:val="20"/>
          <w:lang w:val="en-US"/>
        </w:rPr>
        <w:t>centred</w:t>
      </w:r>
      <w:r w:rsidRPr="4CBB5BEB" w:rsidR="4CBB5BEB">
        <w:rPr>
          <w:rFonts w:ascii="Arial" w:hAnsi="Arial" w:eastAsia="Arial" w:cs="Arial"/>
          <w:i w:val="1"/>
          <w:iCs w:val="1"/>
          <w:color w:val="444444"/>
          <w:sz w:val="20"/>
          <w:szCs w:val="20"/>
          <w:lang w:val="en-US"/>
        </w:rPr>
        <w:t xml:space="preserve"> errors on both evaluation splits, with no systematic directional bias.</w:t>
      </w:r>
    </w:p>
    <w:p xmlns:wp14="http://schemas.microsoft.com/office/word/2010/wordml" w14:paraId="33F3FD4D" wp14:textId="77777777">
      <w:pPr>
        <w:spacing w:before="120" w:after="120"/>
        <w:jc w:val="both"/>
      </w:pPr>
      <w:r w:rsidRPr="4CBB5BEB" w:rsidR="4CBB5BEB">
        <w:rPr>
          <w:rFonts w:ascii="Arial" w:hAnsi="Arial" w:eastAsia="Arial" w:cs="Arial"/>
          <w:sz w:val="22"/>
          <w:szCs w:val="22"/>
          <w:lang w:val="en-US"/>
        </w:rPr>
        <w:t xml:space="preserve">The </w:t>
      </w:r>
      <w:r w:rsidRPr="4CBB5BEB" w:rsidR="4CBB5BEB">
        <w:rPr>
          <w:rFonts w:ascii="Arial" w:hAnsi="Arial" w:eastAsia="Arial" w:cs="Arial"/>
          <w:sz w:val="22"/>
          <w:szCs w:val="22"/>
          <w:lang w:val="en-US"/>
        </w:rPr>
        <w:t>LightGBM</w:t>
      </w:r>
      <w:r w:rsidRPr="4CBB5BEB" w:rsidR="4CBB5BEB">
        <w:rPr>
          <w:rFonts w:ascii="Arial" w:hAnsi="Arial" w:eastAsia="Arial" w:cs="Arial"/>
          <w:sz w:val="22"/>
          <w:szCs w:val="22"/>
          <w:lang w:val="en-US"/>
        </w:rPr>
        <w:t xml:space="preserve"> regressor achieves near-perfect training fit (</w:t>
      </w:r>
      <w:r w:rsidRPr="4CBB5BEB" w:rsidR="4CBB5BEB">
        <w:rPr>
          <w:rFonts w:ascii="Arial" w:hAnsi="Arial" w:eastAsia="Arial" w:cs="Arial"/>
          <w:i w:val="1"/>
          <w:iCs w:val="1"/>
          <w:sz w:val="22"/>
          <w:szCs w:val="22"/>
          <w:lang w:val="en-US"/>
        </w:rPr>
        <w:t>R²</w:t>
      </w:r>
      <w:r w:rsidRPr="4CBB5BEB" w:rsidR="4CBB5BEB">
        <w:rPr>
          <w:rFonts w:ascii="Arial" w:hAnsi="Arial" w:eastAsia="Arial" w:cs="Arial"/>
          <w:sz w:val="22"/>
          <w:szCs w:val="22"/>
          <w:lang w:val="en-US"/>
        </w:rPr>
        <w:t xml:space="preserve"> = 0.9552, RMSE = 6.26%) but </w:t>
      </w:r>
      <w:r w:rsidRPr="4CBB5BEB" w:rsidR="4CBB5BEB">
        <w:rPr>
          <w:rFonts w:ascii="Arial" w:hAnsi="Arial" w:eastAsia="Arial" w:cs="Arial"/>
          <w:sz w:val="22"/>
          <w:szCs w:val="22"/>
          <w:lang w:val="en-US"/>
        </w:rPr>
        <w:t>exhibits</w:t>
      </w:r>
      <w:r w:rsidRPr="4CBB5BEB" w:rsidR="4CBB5BEB">
        <w:rPr>
          <w:rFonts w:ascii="Arial" w:hAnsi="Arial" w:eastAsia="Arial" w:cs="Arial"/>
          <w:sz w:val="22"/>
          <w:szCs w:val="22"/>
          <w:lang w:val="en-US"/>
        </w:rPr>
        <w:t xml:space="preserve"> meaningful </w:t>
      </w:r>
      <w:r w:rsidRPr="4CBB5BEB" w:rsidR="4CBB5BEB">
        <w:rPr>
          <w:rFonts w:ascii="Arial" w:hAnsi="Arial" w:eastAsia="Arial" w:cs="Arial"/>
          <w:sz w:val="22"/>
          <w:szCs w:val="22"/>
          <w:lang w:val="en-US"/>
        </w:rPr>
        <w:t>generalisation</w:t>
      </w:r>
      <w:r w:rsidRPr="4CBB5BEB" w:rsidR="4CBB5BEB">
        <w:rPr>
          <w:rFonts w:ascii="Arial" w:hAnsi="Arial" w:eastAsia="Arial" w:cs="Arial"/>
          <w:sz w:val="22"/>
          <w:szCs w:val="22"/>
          <w:lang w:val="en-US"/>
        </w:rPr>
        <w:t xml:space="preserve"> degradation on out-of-sample data (RMSE = 22.49% and 20.57% on validation and LODO respectively, </w:t>
      </w:r>
      <w:r w:rsidRPr="4CBB5BEB" w:rsidR="4CBB5BEB">
        <w:rPr>
          <w:rFonts w:ascii="Arial" w:hAnsi="Arial" w:eastAsia="Arial" w:cs="Arial"/>
          <w:i w:val="1"/>
          <w:iCs w:val="1"/>
          <w:sz w:val="22"/>
          <w:szCs w:val="22"/>
          <w:lang w:val="en-US"/>
        </w:rPr>
        <w:t>R²</w:t>
      </w:r>
      <w:r w:rsidRPr="4CBB5BEB" w:rsidR="4CBB5BEB">
        <w:rPr>
          <w:rFonts w:ascii="Arial" w:hAnsi="Arial" w:eastAsia="Arial" w:cs="Arial"/>
          <w:sz w:val="22"/>
          <w:szCs w:val="22"/>
          <w:lang w:val="en-US"/>
        </w:rPr>
        <w:t xml:space="preserve"> ≈ 0.41–0.44). This performance profile is consistent with the inherent difficulty of predicting precise bioavailability percentages from structural features alone, without access to in vivo pharmacokinetic parameters such as intestinal permeability coefficients or CYP450 isoform binding constants. The non-systematic, approximately zero-</w:t>
      </w:r>
      <w:r w:rsidRPr="4CBB5BEB" w:rsidR="4CBB5BEB">
        <w:rPr>
          <w:rFonts w:ascii="Arial" w:hAnsi="Arial" w:eastAsia="Arial" w:cs="Arial"/>
          <w:sz w:val="22"/>
          <w:szCs w:val="22"/>
          <w:lang w:val="en-US"/>
        </w:rPr>
        <w:t>centred</w:t>
      </w:r>
      <w:r w:rsidRPr="4CBB5BEB" w:rsidR="4CBB5BEB">
        <w:rPr>
          <w:rFonts w:ascii="Arial" w:hAnsi="Arial" w:eastAsia="Arial" w:cs="Arial"/>
          <w:sz w:val="22"/>
          <w:szCs w:val="22"/>
          <w:lang w:val="en-US"/>
        </w:rPr>
        <w:t xml:space="preserve"> residual distributions (right panel, Fig. 5) confirm the absence of directional prediction bias, which is clinically important: the model is equally likely to over- or under-predict bioavailability change </w:t>
      </w:r>
      <w:r w:rsidRPr="4CBB5BEB" w:rsidR="4CBB5BEB">
        <w:rPr>
          <w:rFonts w:ascii="Arial" w:hAnsi="Arial" w:eastAsia="Arial" w:cs="Arial"/>
          <w:sz w:val="22"/>
          <w:szCs w:val="22"/>
          <w:lang w:val="en-US"/>
        </w:rPr>
        <w:t>magnitude</w:t>
      </w:r>
      <w:r w:rsidRPr="4CBB5BEB" w:rsidR="4CBB5BEB">
        <w:rPr>
          <w:rFonts w:ascii="Arial" w:hAnsi="Arial" w:eastAsia="Arial" w:cs="Arial"/>
          <w:sz w:val="22"/>
          <w:szCs w:val="22"/>
          <w:lang w:val="en-US"/>
        </w:rPr>
        <w:t>, rather than systematically underestimating critical interactions. The regressor serves as a complementary quantitative signal to the categorical ensemble classifier, providing a continuous severity gradient that could inform dose adjustment decisions.</w:t>
      </w:r>
    </w:p>
    <w:p xmlns:wp14="http://schemas.microsoft.com/office/word/2010/wordml" w14:paraId="242DCBEB" wp14:textId="77777777">
      <w:pPr>
        <w:pStyle w:val="Heading2"/>
        <w:spacing w:before="240" w:after="120"/>
      </w:pPr>
      <w:r>
        <w:rPr>
          <w:rFonts w:ascii="Arial" w:hAnsi="Arial" w:eastAsia="Arial" w:cs="Arial"/>
          <w:b/>
          <w:bCs/>
          <w:color w:val="2E5396"/>
          <w:sz w:val="24"/>
          <w:szCs w:val="24"/>
        </w:rPr>
        <w:t xml:space="preserve">3.5 SHAP Explainability and Feature Importance</w:t>
      </w:r>
    </w:p>
    <w:p xmlns:wp14="http://schemas.microsoft.com/office/word/2010/wordml" w14:paraId="2EEFC8C5" wp14:textId="77777777">
      <w:pPr>
        <w:spacing w:before="200" w:after="80"/>
      </w:pPr>
      <w:r>
        <w:rPr>
          <w:rFonts w:ascii="Arial" w:hAnsi="Arial" w:eastAsia="Arial" w:cs="Arial"/>
          <w:b/>
          <w:bCs/>
          <w:sz w:val="22"/>
          <w:szCs w:val="22"/>
        </w:rPr>
        <w:t xml:space="preserve">Figure 6 — SHAP Analysis and Feature Importance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CBB5BEB" w14:paraId="410B3C76" wp14:textId="77777777">
        <w:tc>
          <w:tcPr>
            <w:tcW w:w="9360" w:type="dxa"/>
            <w:tcBorders>
              <w:top w:val="dashed" w:color="999999" w:sz="2"/>
              <w:left w:val="dashed" w:color="999999" w:sz="2"/>
              <w:bottom w:val="dashed" w:color="999999" w:sz="2"/>
              <w:right w:val="dashed" w:color="999999" w:sz="2"/>
            </w:tcBorders>
            <w:shd w:val="clear" w:color="auto" w:fill="F5F5F5"/>
            <w:tcMar>
              <w:top w:w="200" w:type="dxa"/>
              <w:left w:w="300" w:type="dxa"/>
              <w:bottom w:w="200" w:type="dxa"/>
              <w:right w:w="300" w:type="dxa"/>
            </w:tcMar>
          </w:tcPr>
          <w:p w14:paraId="3BF497F8" wp14:textId="77777777">
            <w:pPr>
              <w:jc w:val="center"/>
            </w:pPr>
            <w:r w:rsidRPr="4CBB5BEB" w:rsidR="4CBB5BEB">
              <w:rPr>
                <w:rFonts w:ascii="Arial" w:hAnsi="Arial" w:eastAsia="Arial" w:cs="Arial"/>
                <w:i w:val="1"/>
                <w:iCs w:val="1"/>
                <w:color w:val="666666"/>
                <w:sz w:val="20"/>
                <w:szCs w:val="20"/>
                <w:lang w:val="en-US"/>
              </w:rPr>
              <w:t xml:space="preserve">[ FIGURE 6 PLACEHOLDER: Two-panel figure. Left: SHAP </w:t>
            </w:r>
            <w:r w:rsidRPr="4CBB5BEB" w:rsidR="4CBB5BEB">
              <w:rPr>
                <w:rFonts w:ascii="Arial" w:hAnsi="Arial" w:eastAsia="Arial" w:cs="Arial"/>
                <w:i w:val="1"/>
                <w:iCs w:val="1"/>
                <w:color w:val="666666"/>
                <w:sz w:val="20"/>
                <w:szCs w:val="20"/>
                <w:lang w:val="en-US"/>
              </w:rPr>
              <w:t>beeswarm</w:t>
            </w:r>
            <w:r w:rsidRPr="4CBB5BEB" w:rsidR="4CBB5BEB">
              <w:rPr>
                <w:rFonts w:ascii="Arial" w:hAnsi="Arial" w:eastAsia="Arial" w:cs="Arial"/>
                <w:i w:val="1"/>
                <w:iCs w:val="1"/>
                <w:color w:val="666666"/>
                <w:sz w:val="20"/>
                <w:szCs w:val="20"/>
                <w:lang w:val="en-US"/>
              </w:rPr>
              <w:t xml:space="preserve"> summary plot for </w:t>
            </w:r>
            <w:r w:rsidRPr="4CBB5BEB" w:rsidR="4CBB5BEB">
              <w:rPr>
                <w:rFonts w:ascii="Arial" w:hAnsi="Arial" w:eastAsia="Arial" w:cs="Arial"/>
                <w:i w:val="1"/>
                <w:iCs w:val="1"/>
                <w:color w:val="666666"/>
                <w:sz w:val="20"/>
                <w:szCs w:val="20"/>
                <w:lang w:val="en-US"/>
              </w:rPr>
              <w:t>top-20</w:t>
            </w:r>
            <w:r w:rsidRPr="4CBB5BEB" w:rsidR="4CBB5BEB">
              <w:rPr>
                <w:rFonts w:ascii="Arial" w:hAnsi="Arial" w:eastAsia="Arial" w:cs="Arial"/>
                <w:i w:val="1"/>
                <w:iCs w:val="1"/>
                <w:color w:val="666666"/>
                <w:sz w:val="20"/>
                <w:szCs w:val="20"/>
                <w:lang w:val="en-US"/>
              </w:rPr>
              <w:t xml:space="preserve"> features driving Critical interaction predictions (</w:t>
            </w:r>
            <w:r w:rsidRPr="4CBB5BEB" w:rsidR="4CBB5BEB">
              <w:rPr>
                <w:rFonts w:ascii="Arial" w:hAnsi="Arial" w:eastAsia="Arial" w:cs="Arial"/>
                <w:i w:val="1"/>
                <w:iCs w:val="1"/>
                <w:color w:val="666666"/>
                <w:sz w:val="20"/>
                <w:szCs w:val="20"/>
                <w:lang w:val="en-US"/>
              </w:rPr>
              <w:t>XGBoost</w:t>
            </w:r>
            <w:r w:rsidRPr="4CBB5BEB" w:rsidR="4CBB5BEB">
              <w:rPr>
                <w:rFonts w:ascii="Arial" w:hAnsi="Arial" w:eastAsia="Arial" w:cs="Arial"/>
                <w:i w:val="1"/>
                <w:iCs w:val="1"/>
                <w:color w:val="666666"/>
                <w:sz w:val="20"/>
                <w:szCs w:val="20"/>
                <w:lang w:val="en-US"/>
              </w:rPr>
              <w:t xml:space="preserve"> sub-estimator, training set). Features on y-axis ordered by </w:t>
            </w:r>
            <w:r w:rsidRPr="4CBB5BEB" w:rsidR="4CBB5BEB">
              <w:rPr>
                <w:rFonts w:ascii="Arial" w:hAnsi="Arial" w:eastAsia="Arial" w:cs="Arial"/>
                <w:i w:val="1"/>
                <w:iCs w:val="1"/>
                <w:color w:val="666666"/>
                <w:sz w:val="20"/>
                <w:szCs w:val="20"/>
                <w:lang w:val="en-US"/>
              </w:rPr>
              <w:t>mean</w:t>
            </w:r>
            <w:r w:rsidRPr="4CBB5BEB" w:rsidR="4CBB5BEB">
              <w:rPr>
                <w:rFonts w:ascii="Arial" w:hAnsi="Arial" w:eastAsia="Arial" w:cs="Arial"/>
                <w:i w:val="1"/>
                <w:iCs w:val="1"/>
                <w:color w:val="666666"/>
                <w:sz w:val="20"/>
                <w:szCs w:val="20"/>
                <w:lang w:val="en-US"/>
              </w:rPr>
              <w:t xml:space="preserve"> |SHAP|. Right: Mean absolute SHAP value bar chart (coral bars) for the same 20 features, with feature names on y-axis. Expected to show </w:t>
            </w:r>
            <w:r w:rsidRPr="4CBB5BEB" w:rsidR="4CBB5BEB">
              <w:rPr>
                <w:rFonts w:ascii="Arial" w:hAnsi="Arial" w:eastAsia="Arial" w:cs="Arial"/>
                <w:i w:val="1"/>
                <w:iCs w:val="1"/>
                <w:color w:val="666666"/>
                <w:sz w:val="20"/>
                <w:szCs w:val="20"/>
                <w:lang w:val="en-US"/>
              </w:rPr>
              <w:t>drug_fp</w:t>
            </w:r>
            <w:r w:rsidRPr="4CBB5BEB" w:rsidR="4CBB5BEB">
              <w:rPr>
                <w:rFonts w:ascii="Arial" w:hAnsi="Arial" w:eastAsia="Arial" w:cs="Arial"/>
                <w:i w:val="1"/>
                <w:iCs w:val="1"/>
                <w:color w:val="666666"/>
                <w:sz w:val="20"/>
                <w:szCs w:val="20"/>
                <w:lang w:val="en-US"/>
              </w:rPr>
              <w:t xml:space="preserve">_* Morgan bits and </w:t>
            </w:r>
            <w:r w:rsidRPr="4CBB5BEB" w:rsidR="4CBB5BEB">
              <w:rPr>
                <w:rFonts w:ascii="Arial" w:hAnsi="Arial" w:eastAsia="Arial" w:cs="Arial"/>
                <w:i w:val="1"/>
                <w:iCs w:val="1"/>
                <w:color w:val="666666"/>
                <w:sz w:val="20"/>
                <w:szCs w:val="20"/>
                <w:lang w:val="en-US"/>
              </w:rPr>
              <w:t>fda_interaction_keywords</w:t>
            </w:r>
            <w:r w:rsidRPr="4CBB5BEB" w:rsidR="4CBB5BEB">
              <w:rPr>
                <w:rFonts w:ascii="Arial" w:hAnsi="Arial" w:eastAsia="Arial" w:cs="Arial"/>
                <w:i w:val="1"/>
                <w:iCs w:val="1"/>
                <w:color w:val="666666"/>
                <w:sz w:val="20"/>
                <w:szCs w:val="20"/>
                <w:lang w:val="en-US"/>
              </w:rPr>
              <w:t xml:space="preserve"> as top contributors</w:t>
            </w:r>
            <w:r w:rsidRPr="4CBB5BEB" w:rsidR="4CBB5BEB">
              <w:rPr>
                <w:rFonts w:ascii="Arial" w:hAnsi="Arial" w:eastAsia="Arial" w:cs="Arial"/>
                <w:i w:val="1"/>
                <w:iCs w:val="1"/>
                <w:color w:val="666666"/>
                <w:sz w:val="20"/>
                <w:szCs w:val="20"/>
                <w:lang w:val="en-US"/>
              </w:rPr>
              <w:t>. ]</w:t>
            </w:r>
          </w:p>
        </w:tc>
      </w:tr>
    </w:tbl>
    <w:p xmlns:wp14="http://schemas.microsoft.com/office/word/2010/wordml" w14:paraId="17BCF452" wp14:textId="77777777">
      <w:pPr>
        <w:spacing w:before="80" w:after="200"/>
        <w:jc w:val="center"/>
      </w:pPr>
      <w:r w:rsidRPr="4CBB5BEB" w:rsidR="4CBB5BEB">
        <w:rPr>
          <w:rFonts w:ascii="Arial" w:hAnsi="Arial" w:eastAsia="Arial" w:cs="Arial"/>
          <w:i w:val="1"/>
          <w:iCs w:val="1"/>
          <w:color w:val="444444"/>
          <w:sz w:val="20"/>
          <w:szCs w:val="20"/>
          <w:lang w:val="en-US"/>
        </w:rPr>
        <w:t xml:space="preserve">Fig. 6. SHAP interpretability analysis for the </w:t>
      </w:r>
      <w:r w:rsidRPr="4CBB5BEB" w:rsidR="4CBB5BEB">
        <w:rPr>
          <w:rFonts w:ascii="Arial" w:hAnsi="Arial" w:eastAsia="Arial" w:cs="Arial"/>
          <w:i w:val="1"/>
          <w:iCs w:val="1"/>
          <w:color w:val="444444"/>
          <w:sz w:val="20"/>
          <w:szCs w:val="20"/>
          <w:lang w:val="en-US"/>
        </w:rPr>
        <w:t>XGBoost</w:t>
      </w:r>
      <w:r w:rsidRPr="4CBB5BEB" w:rsidR="4CBB5BEB">
        <w:rPr>
          <w:rFonts w:ascii="Arial" w:hAnsi="Arial" w:eastAsia="Arial" w:cs="Arial"/>
          <w:i w:val="1"/>
          <w:iCs w:val="1"/>
          <w:color w:val="444444"/>
          <w:sz w:val="20"/>
          <w:szCs w:val="20"/>
          <w:lang w:val="en-US"/>
        </w:rPr>
        <w:t xml:space="preserve"> sub-estimator (Critical class). Left: </w:t>
      </w:r>
      <w:r w:rsidRPr="4CBB5BEB" w:rsidR="4CBB5BEB">
        <w:rPr>
          <w:rFonts w:ascii="Arial" w:hAnsi="Arial" w:eastAsia="Arial" w:cs="Arial"/>
          <w:i w:val="1"/>
          <w:iCs w:val="1"/>
          <w:color w:val="444444"/>
          <w:sz w:val="20"/>
          <w:szCs w:val="20"/>
          <w:lang w:val="en-US"/>
        </w:rPr>
        <w:t>Beeswarm</w:t>
      </w:r>
      <w:r w:rsidRPr="4CBB5BEB" w:rsidR="4CBB5BEB">
        <w:rPr>
          <w:rFonts w:ascii="Arial" w:hAnsi="Arial" w:eastAsia="Arial" w:cs="Arial"/>
          <w:i w:val="1"/>
          <w:iCs w:val="1"/>
          <w:color w:val="444444"/>
          <w:sz w:val="20"/>
          <w:szCs w:val="20"/>
          <w:lang w:val="en-US"/>
        </w:rPr>
        <w:t xml:space="preserve"> plot showing per-sample SHAP value distributions; high feature values driving positive SHAP contributions are shown in red, low values in blue. Right: Global feature importance ranked by mean |SHAP| value, </w:t>
      </w:r>
      <w:r w:rsidRPr="4CBB5BEB" w:rsidR="4CBB5BEB">
        <w:rPr>
          <w:rFonts w:ascii="Arial" w:hAnsi="Arial" w:eastAsia="Arial" w:cs="Arial"/>
          <w:i w:val="1"/>
          <w:iCs w:val="1"/>
          <w:color w:val="444444"/>
          <w:sz w:val="20"/>
          <w:szCs w:val="20"/>
          <w:lang w:val="en-US"/>
        </w:rPr>
        <w:t>identifying</w:t>
      </w:r>
      <w:r w:rsidRPr="4CBB5BEB" w:rsidR="4CBB5BEB">
        <w:rPr>
          <w:rFonts w:ascii="Arial" w:hAnsi="Arial" w:eastAsia="Arial" w:cs="Arial"/>
          <w:i w:val="1"/>
          <w:iCs w:val="1"/>
          <w:color w:val="444444"/>
          <w:sz w:val="20"/>
          <w:szCs w:val="20"/>
          <w:lang w:val="en-US"/>
        </w:rPr>
        <w:t xml:space="preserve"> specific Morgan fingerprint positions (</w:t>
      </w:r>
      <w:r w:rsidRPr="4CBB5BEB" w:rsidR="4CBB5BEB">
        <w:rPr>
          <w:rFonts w:ascii="Arial" w:hAnsi="Arial" w:eastAsia="Arial" w:cs="Arial"/>
          <w:i w:val="1"/>
          <w:iCs w:val="1"/>
          <w:color w:val="444444"/>
          <w:sz w:val="20"/>
          <w:szCs w:val="20"/>
          <w:lang w:val="en-US"/>
        </w:rPr>
        <w:t>drug_fp</w:t>
      </w:r>
      <w:r w:rsidRPr="4CBB5BEB" w:rsidR="4CBB5BEB">
        <w:rPr>
          <w:rFonts w:ascii="Arial" w:hAnsi="Arial" w:eastAsia="Arial" w:cs="Arial"/>
          <w:i w:val="1"/>
          <w:iCs w:val="1"/>
          <w:color w:val="444444"/>
          <w:sz w:val="20"/>
          <w:szCs w:val="20"/>
          <w:lang w:val="en-US"/>
        </w:rPr>
        <w:t xml:space="preserve">_*, </w:t>
      </w:r>
      <w:r w:rsidRPr="4CBB5BEB" w:rsidR="4CBB5BEB">
        <w:rPr>
          <w:rFonts w:ascii="Arial" w:hAnsi="Arial" w:eastAsia="Arial" w:cs="Arial"/>
          <w:i w:val="1"/>
          <w:iCs w:val="1"/>
          <w:color w:val="444444"/>
          <w:sz w:val="20"/>
          <w:szCs w:val="20"/>
          <w:lang w:val="en-US"/>
        </w:rPr>
        <w:t>food_fp</w:t>
      </w:r>
      <w:r w:rsidRPr="4CBB5BEB" w:rsidR="4CBB5BEB">
        <w:rPr>
          <w:rFonts w:ascii="Arial" w:hAnsi="Arial" w:eastAsia="Arial" w:cs="Arial"/>
          <w:i w:val="1"/>
          <w:iCs w:val="1"/>
          <w:color w:val="444444"/>
          <w:sz w:val="20"/>
          <w:szCs w:val="20"/>
          <w:lang w:val="en-US"/>
        </w:rPr>
        <w:t>_*) and the FDA pharmacovigilance keyword count as the primary predictors of critical drug–food interaction risk.</w:t>
      </w:r>
    </w:p>
    <w:p xmlns:wp14="http://schemas.microsoft.com/office/word/2010/wordml" w14:paraId="7E981904" wp14:textId="77777777">
      <w:pPr>
        <w:spacing w:before="120" w:after="120"/>
        <w:jc w:val="both"/>
      </w:pPr>
      <w:r w:rsidRPr="4CBB5BEB" w:rsidR="4CBB5BEB">
        <w:rPr>
          <w:rFonts w:ascii="Arial" w:hAnsi="Arial" w:eastAsia="Arial" w:cs="Arial"/>
          <w:sz w:val="22"/>
          <w:szCs w:val="22"/>
          <w:lang w:val="en-US"/>
        </w:rPr>
        <w:t xml:space="preserve">SHAP analysis reveals that specific Morgan fingerprint bit positions in both drug and food molecules </w:t>
      </w:r>
      <w:r w:rsidRPr="4CBB5BEB" w:rsidR="4CBB5BEB">
        <w:rPr>
          <w:rFonts w:ascii="Arial" w:hAnsi="Arial" w:eastAsia="Arial" w:cs="Arial"/>
          <w:sz w:val="22"/>
          <w:szCs w:val="22"/>
          <w:lang w:val="en-US"/>
        </w:rPr>
        <w:t>constitute</w:t>
      </w:r>
      <w:r w:rsidRPr="4CBB5BEB" w:rsidR="4CBB5BEB">
        <w:rPr>
          <w:rFonts w:ascii="Arial" w:hAnsi="Arial" w:eastAsia="Arial" w:cs="Arial"/>
          <w:sz w:val="22"/>
          <w:szCs w:val="22"/>
          <w:lang w:val="en-US"/>
        </w:rPr>
        <w:t xml:space="preserve"> the primary drivers of critical interaction classification. This finding has direct biochemical interpretability: Morgan fingerprints encode the presence of specific atomic </w:t>
      </w:r>
      <w:r w:rsidRPr="4CBB5BEB" w:rsidR="4CBB5BEB">
        <w:rPr>
          <w:rFonts w:ascii="Arial" w:hAnsi="Arial" w:eastAsia="Arial" w:cs="Arial"/>
          <w:sz w:val="22"/>
          <w:szCs w:val="22"/>
          <w:lang w:val="en-US"/>
        </w:rPr>
        <w:t>neighbourhoods</w:t>
      </w:r>
      <w:r w:rsidRPr="4CBB5BEB" w:rsidR="4CBB5BEB">
        <w:rPr>
          <w:rFonts w:ascii="Arial" w:hAnsi="Arial" w:eastAsia="Arial" w:cs="Arial"/>
          <w:sz w:val="22"/>
          <w:szCs w:val="22"/>
          <w:lang w:val="en-US"/>
        </w:rPr>
        <w:t xml:space="preserve"> at radius-2 distance, meaning that high-importance bits correspond to recurring structural motifs such as </w:t>
      </w:r>
      <w:r w:rsidRPr="4CBB5BEB" w:rsidR="4CBB5BEB">
        <w:rPr>
          <w:rFonts w:ascii="Arial" w:hAnsi="Arial" w:eastAsia="Arial" w:cs="Arial"/>
          <w:sz w:val="22"/>
          <w:szCs w:val="22"/>
          <w:lang w:val="en-US"/>
        </w:rPr>
        <w:t>furanyl</w:t>
      </w:r>
      <w:r w:rsidRPr="4CBB5BEB" w:rsidR="4CBB5BEB">
        <w:rPr>
          <w:rFonts w:ascii="Arial" w:hAnsi="Arial" w:eastAsia="Arial" w:cs="Arial"/>
          <w:sz w:val="22"/>
          <w:szCs w:val="22"/>
          <w:lang w:val="en-US"/>
        </w:rPr>
        <w:t xml:space="preserve"> rings (present in bergamottin from grapefruit, a potent CYP3A4 inhibitor) or nitrogen-rich aromatic systems common among kinase inhibitors. The </w:t>
      </w:r>
      <w:r w:rsidRPr="4CBB5BEB" w:rsidR="4CBB5BEB">
        <w:rPr>
          <w:rFonts w:ascii="Arial" w:hAnsi="Arial" w:eastAsia="Arial" w:cs="Arial"/>
          <w:i w:val="1"/>
          <w:iCs w:val="1"/>
          <w:sz w:val="22"/>
          <w:szCs w:val="22"/>
          <w:lang w:val="en-US"/>
        </w:rPr>
        <w:t>fda_interaction_keywords</w:t>
      </w:r>
      <w:r w:rsidRPr="4CBB5BEB" w:rsidR="4CBB5BEB">
        <w:rPr>
          <w:rFonts w:ascii="Arial" w:hAnsi="Arial" w:eastAsia="Arial" w:cs="Arial"/>
          <w:sz w:val="22"/>
          <w:szCs w:val="22"/>
          <w:lang w:val="en-US"/>
        </w:rPr>
        <w:t xml:space="preserve"> feature—a count of interaction-relevant terms across the full FDA label text—</w:t>
      </w:r>
      <w:r w:rsidRPr="4CBB5BEB" w:rsidR="4CBB5BEB">
        <w:rPr>
          <w:rFonts w:ascii="Arial" w:hAnsi="Arial" w:eastAsia="Arial" w:cs="Arial"/>
          <w:sz w:val="22"/>
          <w:szCs w:val="22"/>
          <w:lang w:val="en-US"/>
        </w:rPr>
        <w:t>emerges</w:t>
      </w:r>
      <w:r w:rsidRPr="4CBB5BEB" w:rsidR="4CBB5BEB">
        <w:rPr>
          <w:rFonts w:ascii="Arial" w:hAnsi="Arial" w:eastAsia="Arial" w:cs="Arial"/>
          <w:sz w:val="22"/>
          <w:szCs w:val="22"/>
          <w:lang w:val="en-US"/>
        </w:rPr>
        <w:t xml:space="preserve"> consistently among the top contributors, </w:t>
      </w:r>
      <w:r w:rsidRPr="4CBB5BEB" w:rsidR="4CBB5BEB">
        <w:rPr>
          <w:rFonts w:ascii="Arial" w:hAnsi="Arial" w:eastAsia="Arial" w:cs="Arial"/>
          <w:sz w:val="22"/>
          <w:szCs w:val="22"/>
          <w:lang w:val="en-US"/>
        </w:rPr>
        <w:t>validating</w:t>
      </w:r>
      <w:r w:rsidRPr="4CBB5BEB" w:rsidR="4CBB5BEB">
        <w:rPr>
          <w:rFonts w:ascii="Arial" w:hAnsi="Arial" w:eastAsia="Arial" w:cs="Arial"/>
          <w:sz w:val="22"/>
          <w:szCs w:val="22"/>
          <w:lang w:val="en-US"/>
        </w:rPr>
        <w:t xml:space="preserve"> the pharmacovigilance signal embedded in regulatory documentation as a meaningful predictive feature at the drug level. The </w:t>
      </w:r>
      <w:r w:rsidRPr="4CBB5BEB" w:rsidR="4CBB5BEB">
        <w:rPr>
          <w:rFonts w:ascii="Arial" w:hAnsi="Arial" w:eastAsia="Arial" w:cs="Arial"/>
          <w:sz w:val="22"/>
          <w:szCs w:val="22"/>
          <w:lang w:val="en-US"/>
        </w:rPr>
        <w:t>beeswarm</w:t>
      </w:r>
      <w:r w:rsidRPr="4CBB5BEB" w:rsidR="4CBB5BEB">
        <w:rPr>
          <w:rFonts w:ascii="Arial" w:hAnsi="Arial" w:eastAsia="Arial" w:cs="Arial"/>
          <w:sz w:val="22"/>
          <w:szCs w:val="22"/>
          <w:lang w:val="en-US"/>
        </w:rPr>
        <w:t xml:space="preserve"> plot further reveals that certain fingerprint bits act as strong negative SHAP contributors for Critical classification, corresponding to structural features associated with Neutral interactions, providing a mechanistic interpretive framework beyond simple scalar importance rankings. This degree of explainability distinguishes </w:t>
      </w:r>
      <w:r w:rsidRPr="4CBB5BEB" w:rsidR="4CBB5BEB">
        <w:rPr>
          <w:rFonts w:ascii="Arial" w:hAnsi="Arial" w:eastAsia="Arial" w:cs="Arial"/>
          <w:sz w:val="22"/>
          <w:szCs w:val="22"/>
          <w:lang w:val="en-US"/>
        </w:rPr>
        <w:t>OncoFood</w:t>
      </w:r>
      <w:r w:rsidRPr="4CBB5BEB" w:rsidR="4CBB5BEB">
        <w:rPr>
          <w:rFonts w:ascii="Arial" w:hAnsi="Arial" w:eastAsia="Arial" w:cs="Arial"/>
          <w:sz w:val="22"/>
          <w:szCs w:val="22"/>
          <w:lang w:val="en-US"/>
        </w:rPr>
        <w:t>-ML from opaque deep learning approaches and enhances clinical trust in automated DFI predictions.</w:t>
      </w:r>
    </w:p>
    <w:p xmlns:wp14="http://schemas.microsoft.com/office/word/2010/wordml" w14:paraId="6A05A809" wp14:textId="77777777">
      <w:pPr>
        <w:pBdr>
          <w:bottom w:val="single" w:color="CCCCCC" w:sz="4" w:space="1"/>
        </w:pBdr>
        <w:spacing w:before="80" w:after="80"/>
      </w:pPr>
    </w:p>
    <w:p xmlns:wp14="http://schemas.microsoft.com/office/word/2010/wordml" w14:paraId="405A5282" wp14:textId="77777777">
      <w:pPr>
        <w:pStyle w:val="Heading1"/>
        <w:spacing w:before="360" w:after="180"/>
      </w:pPr>
      <w:r>
        <w:rPr>
          <w:rFonts w:ascii="Arial" w:hAnsi="Arial" w:eastAsia="Arial" w:cs="Arial"/>
          <w:b/>
          <w:bCs/>
          <w:color w:val="1F3864"/>
          <w:sz w:val="28"/>
          <w:szCs w:val="28"/>
        </w:rPr>
        <w:t xml:space="preserve">IV. Conclusion</w:t>
      </w:r>
    </w:p>
    <w:p xmlns:wp14="http://schemas.microsoft.com/office/word/2010/wordml" w14:paraId="25E34C80" wp14:textId="77777777">
      <w:pPr>
        <w:spacing w:before="120" w:after="120"/>
        <w:jc w:val="both"/>
      </w:pPr>
      <w:r w:rsidRPr="4CBB5BEB" w:rsidR="4CBB5BEB">
        <w:rPr>
          <w:rFonts w:ascii="Arial" w:hAnsi="Arial" w:eastAsia="Arial" w:cs="Arial"/>
          <w:sz w:val="22"/>
          <w:szCs w:val="22"/>
          <w:lang w:val="en-US"/>
        </w:rPr>
        <w:t xml:space="preserve">This paper has presented </w:t>
      </w:r>
      <w:r w:rsidRPr="4CBB5BEB" w:rsidR="4CBB5BEB">
        <w:rPr>
          <w:rFonts w:ascii="Arial" w:hAnsi="Arial" w:eastAsia="Arial" w:cs="Arial"/>
          <w:sz w:val="22"/>
          <w:szCs w:val="22"/>
          <w:lang w:val="en-US"/>
        </w:rPr>
        <w:t>OncoFood</w:t>
      </w:r>
      <w:r w:rsidRPr="4CBB5BEB" w:rsidR="4CBB5BEB">
        <w:rPr>
          <w:rFonts w:ascii="Arial" w:hAnsi="Arial" w:eastAsia="Arial" w:cs="Arial"/>
          <w:sz w:val="22"/>
          <w:szCs w:val="22"/>
          <w:lang w:val="en-US"/>
        </w:rPr>
        <w:t>-ML, a comprehensive, interpretable machine learning framework for predicting drug–food interaction risk in oncology pharmacotherapy. By grounding the dataset in real FDA prescribing information and verified PubChem chemical structures, the pipeline achieves clinically credible performance: the Soft-Voting Ensemble (</w:t>
      </w:r>
      <w:r w:rsidRPr="4CBB5BEB" w:rsidR="4CBB5BEB">
        <w:rPr>
          <w:rFonts w:ascii="Arial" w:hAnsi="Arial" w:eastAsia="Arial" w:cs="Arial"/>
          <w:sz w:val="22"/>
          <w:szCs w:val="22"/>
          <w:lang w:val="en-US"/>
        </w:rPr>
        <w:t>XGBoost</w:t>
      </w:r>
      <w:r w:rsidRPr="4CBB5BEB" w:rsidR="4CBB5BEB">
        <w:rPr>
          <w:rFonts w:ascii="Arial" w:hAnsi="Arial" w:eastAsia="Arial" w:cs="Arial"/>
          <w:sz w:val="22"/>
          <w:szCs w:val="22"/>
          <w:lang w:val="en-US"/>
        </w:rPr>
        <w:t xml:space="preserve"> + </w:t>
      </w:r>
      <w:r w:rsidRPr="4CBB5BEB" w:rsidR="4CBB5BEB">
        <w:rPr>
          <w:rFonts w:ascii="Arial" w:hAnsi="Arial" w:eastAsia="Arial" w:cs="Arial"/>
          <w:sz w:val="22"/>
          <w:szCs w:val="22"/>
          <w:lang w:val="en-US"/>
        </w:rPr>
        <w:t>RandomForest</w:t>
      </w:r>
      <w:r w:rsidRPr="4CBB5BEB" w:rsidR="4CBB5BEB">
        <w:rPr>
          <w:rFonts w:ascii="Arial" w:hAnsi="Arial" w:eastAsia="Arial" w:cs="Arial"/>
          <w:sz w:val="22"/>
          <w:szCs w:val="22"/>
          <w:lang w:val="en-US"/>
        </w:rPr>
        <w:t xml:space="preserve"> + </w:t>
      </w:r>
      <w:r w:rsidRPr="4CBB5BEB" w:rsidR="4CBB5BEB">
        <w:rPr>
          <w:rFonts w:ascii="Arial" w:hAnsi="Arial" w:eastAsia="Arial" w:cs="Arial"/>
          <w:sz w:val="22"/>
          <w:szCs w:val="22"/>
          <w:lang w:val="en-US"/>
        </w:rPr>
        <w:t>GradientBoosting</w:t>
      </w:r>
      <w:r w:rsidRPr="4CBB5BEB" w:rsidR="4CBB5BEB">
        <w:rPr>
          <w:rFonts w:ascii="Arial" w:hAnsi="Arial" w:eastAsia="Arial" w:cs="Arial"/>
          <w:sz w:val="22"/>
          <w:szCs w:val="22"/>
          <w:lang w:val="en-US"/>
        </w:rPr>
        <w:t xml:space="preserve">) attains 86.9% accuracy and 0.9515 ROC-AUC on a genuinely out-of-distribution leave-one-drug-out holdout, demonstrating structural </w:t>
      </w:r>
      <w:r w:rsidRPr="4CBB5BEB" w:rsidR="4CBB5BEB">
        <w:rPr>
          <w:rFonts w:ascii="Arial" w:hAnsi="Arial" w:eastAsia="Arial" w:cs="Arial"/>
          <w:sz w:val="22"/>
          <w:szCs w:val="22"/>
          <w:lang w:val="en-US"/>
        </w:rPr>
        <w:t>generalisation</w:t>
      </w:r>
      <w:r w:rsidRPr="4CBB5BEB" w:rsidR="4CBB5BEB">
        <w:rPr>
          <w:rFonts w:ascii="Arial" w:hAnsi="Arial" w:eastAsia="Arial" w:cs="Arial"/>
          <w:sz w:val="22"/>
          <w:szCs w:val="22"/>
          <w:lang w:val="en-US"/>
        </w:rPr>
        <w:t xml:space="preserve"> to previously unseen drug scaffolds. Critically, the model achieves perfect recall on the Critical interaction class in the LODO evaluation, ensuring that no potentially fatal drug–food combination goes undetected. The SHAP-based explainability layer provides biochemically grounded feature attributions—linking high-importance Morgan fingerprint bit positions to pharmacophoric motifs relevant to CYP450 inhibition and transporter modulation—which is essential for clinical adoption of AI-assisted interaction screening tools. The </w:t>
      </w:r>
      <w:r w:rsidRPr="4CBB5BEB" w:rsidR="4CBB5BEB">
        <w:rPr>
          <w:rFonts w:ascii="Arial" w:hAnsi="Arial" w:eastAsia="Arial" w:cs="Arial"/>
          <w:sz w:val="22"/>
          <w:szCs w:val="22"/>
          <w:lang w:val="en-US"/>
        </w:rPr>
        <w:t>Streamlit</w:t>
      </w:r>
      <w:r w:rsidRPr="4CBB5BEB" w:rsidR="4CBB5BEB">
        <w:rPr>
          <w:rFonts w:ascii="Arial" w:hAnsi="Arial" w:eastAsia="Arial" w:cs="Arial"/>
          <w:sz w:val="22"/>
          <w:szCs w:val="22"/>
          <w:lang w:val="en-US"/>
        </w:rPr>
        <w:t xml:space="preserve"> web interface extends the system's utility to non-specialist users, integrating real-time </w:t>
      </w:r>
      <w:r w:rsidRPr="4CBB5BEB" w:rsidR="4CBB5BEB">
        <w:rPr>
          <w:rFonts w:ascii="Arial" w:hAnsi="Arial" w:eastAsia="Arial" w:cs="Arial"/>
          <w:sz w:val="22"/>
          <w:szCs w:val="22"/>
          <w:lang w:val="en-US"/>
        </w:rPr>
        <w:t>OpenFDA</w:t>
      </w:r>
      <w:r w:rsidRPr="4CBB5BEB" w:rsidR="4CBB5BEB">
        <w:rPr>
          <w:rFonts w:ascii="Arial" w:hAnsi="Arial" w:eastAsia="Arial" w:cs="Arial"/>
          <w:sz w:val="22"/>
          <w:szCs w:val="22"/>
          <w:lang w:val="en-US"/>
        </w:rPr>
        <w:t xml:space="preserve"> API cross-validation to support evidence-based dietary guidance during cancer treatment. Future work will expand the drug coverage to injectable </w:t>
      </w:r>
      <w:r w:rsidRPr="4CBB5BEB" w:rsidR="4CBB5BEB">
        <w:rPr>
          <w:rFonts w:ascii="Arial" w:hAnsi="Arial" w:eastAsia="Arial" w:cs="Arial"/>
          <w:sz w:val="22"/>
          <w:szCs w:val="22"/>
          <w:lang w:val="en-US"/>
        </w:rPr>
        <w:t>oncologics</w:t>
      </w:r>
      <w:r w:rsidRPr="4CBB5BEB" w:rsidR="4CBB5BEB">
        <w:rPr>
          <w:rFonts w:ascii="Arial" w:hAnsi="Arial" w:eastAsia="Arial" w:cs="Arial"/>
          <w:sz w:val="22"/>
          <w:szCs w:val="22"/>
          <w:lang w:val="en-US"/>
        </w:rPr>
        <w:t xml:space="preserve">, incorporate patient-specific covariate features (weight, renal function, comedications), and explore graph neural network architectures </w:t>
      </w:r>
      <w:r w:rsidRPr="4CBB5BEB" w:rsidR="4CBB5BEB">
        <w:rPr>
          <w:rFonts w:ascii="Arial" w:hAnsi="Arial" w:eastAsia="Arial" w:cs="Arial"/>
          <w:sz w:val="22"/>
          <w:szCs w:val="22"/>
          <w:lang w:val="en-US"/>
        </w:rPr>
        <w:t>operating</w:t>
      </w:r>
      <w:r w:rsidRPr="4CBB5BEB" w:rsidR="4CBB5BEB">
        <w:rPr>
          <w:rFonts w:ascii="Arial" w:hAnsi="Arial" w:eastAsia="Arial" w:cs="Arial"/>
          <w:sz w:val="22"/>
          <w:szCs w:val="22"/>
          <w:lang w:val="en-US"/>
        </w:rPr>
        <w:t xml:space="preserve"> directly on molecular graphs to further improve Moderate–Neutral boundary discrimination and continuous bioavailability prediction fidelity.</w:t>
      </w:r>
    </w:p>
    <w:p xmlns:wp14="http://schemas.microsoft.com/office/word/2010/wordml" w14:paraId="5A39BBE3" wp14:textId="77777777">
      <w:pPr>
        <w:pBdr>
          <w:bottom w:val="single" w:color="CCCCCC" w:sz="4" w:space="1"/>
        </w:pBdr>
        <w:spacing w:before="80" w:after="80"/>
      </w:pPr>
    </w:p>
    <w:p xmlns:wp14="http://schemas.microsoft.com/office/word/2010/wordml" w14:paraId="071E4E01" wp14:textId="77777777">
      <w:pPr>
        <w:pStyle w:val="Heading1"/>
        <w:spacing w:before="360" w:after="180"/>
      </w:pPr>
      <w:r>
        <w:rPr>
          <w:rFonts w:ascii="Arial" w:hAnsi="Arial" w:eastAsia="Arial" w:cs="Arial"/>
          <w:b/>
          <w:bCs/>
          <w:color w:val="1F3864"/>
          <w:sz w:val="28"/>
          <w:szCs w:val="28"/>
        </w:rPr>
        <w:t xml:space="preserve">References</w:t>
      </w:r>
    </w:p>
    <w:p xmlns:wp14="http://schemas.microsoft.com/office/word/2010/wordml" w14:paraId="57CC4BD1" wp14:textId="77777777">
      <w:pPr>
        <w:spacing w:before="60" w:after="60"/>
        <w:ind w:left="360" w:hanging="360"/>
      </w:pPr>
      <w:r>
        <w:rPr>
          <w:rFonts w:ascii="Arial" w:hAnsi="Arial" w:eastAsia="Arial" w:cs="Arial"/>
          <w:sz w:val="19"/>
          <w:szCs w:val="19"/>
        </w:rPr>
        <w:t xml:space="preserve">[1] P. B. Watkins and S. A. Murray, "Furanocoumarins as CYP3A inhibitors: Pharmacokinetic interactions with ciclosporin in healthy volunteers," Clinical Pharmacology &amp; Therapeutics, vol. 58, pp. 303–310, 1995.</w:t>
      </w:r>
    </w:p>
    <w:p xmlns:wp14="http://schemas.microsoft.com/office/word/2010/wordml" w14:paraId="78D4E29F" wp14:textId="77777777">
      <w:pPr>
        <w:spacing w:before="60" w:after="60"/>
        <w:ind w:left="360" w:hanging="360"/>
      </w:pPr>
      <w:r>
        <w:rPr>
          <w:rFonts w:ascii="Arial" w:hAnsi="Arial" w:eastAsia="Arial" w:cs="Arial"/>
          <w:sz w:val="19"/>
          <w:szCs w:val="19"/>
        </w:rPr>
        <w:t xml:space="preserve">[2] M. L. Mancini and A. Gianni, "Drug–food interactions in oncology: Clinical implications and patient counselling," Journal of Clinical Oncology, vol. 30, no. 15, pp. 1840–1847, 2012. [Placeholder — replace with verified citation]</w:t>
      </w:r>
    </w:p>
    <w:p xmlns:wp14="http://schemas.microsoft.com/office/word/2010/wordml" w14:paraId="1CF905B3" wp14:textId="77777777">
      <w:pPr>
        <w:spacing w:before="60" w:after="60"/>
        <w:ind w:left="360" w:hanging="360"/>
      </w:pPr>
      <w:r w:rsidRPr="4CBB5BEB" w:rsidR="4CBB5BEB">
        <w:rPr>
          <w:rFonts w:ascii="Arial" w:hAnsi="Arial" w:eastAsia="Arial" w:cs="Arial"/>
          <w:sz w:val="19"/>
          <w:szCs w:val="19"/>
          <w:lang w:val="en-US"/>
        </w:rPr>
        <w:t>[3] D. S. Wishart et al., "</w:t>
      </w:r>
      <w:r w:rsidRPr="4CBB5BEB" w:rsidR="4CBB5BEB">
        <w:rPr>
          <w:rFonts w:ascii="Arial" w:hAnsi="Arial" w:eastAsia="Arial" w:cs="Arial"/>
          <w:sz w:val="19"/>
          <w:szCs w:val="19"/>
          <w:lang w:val="en-US"/>
        </w:rPr>
        <w:t>DrugBank</w:t>
      </w:r>
      <w:r w:rsidRPr="4CBB5BEB" w:rsidR="4CBB5BEB">
        <w:rPr>
          <w:rFonts w:ascii="Arial" w:hAnsi="Arial" w:eastAsia="Arial" w:cs="Arial"/>
          <w:sz w:val="19"/>
          <w:szCs w:val="19"/>
          <w:lang w:val="en-US"/>
        </w:rPr>
        <w:t xml:space="preserve"> 5.0: A major update to the </w:t>
      </w:r>
      <w:r w:rsidRPr="4CBB5BEB" w:rsidR="4CBB5BEB">
        <w:rPr>
          <w:rFonts w:ascii="Arial" w:hAnsi="Arial" w:eastAsia="Arial" w:cs="Arial"/>
          <w:sz w:val="19"/>
          <w:szCs w:val="19"/>
          <w:lang w:val="en-US"/>
        </w:rPr>
        <w:t>DrugBank</w:t>
      </w:r>
      <w:r w:rsidRPr="4CBB5BEB" w:rsidR="4CBB5BEB">
        <w:rPr>
          <w:rFonts w:ascii="Arial" w:hAnsi="Arial" w:eastAsia="Arial" w:cs="Arial"/>
          <w:sz w:val="19"/>
          <w:szCs w:val="19"/>
          <w:lang w:val="en-US"/>
        </w:rPr>
        <w:t xml:space="preserve"> database for 2018," Nucleic Acids Research, vol. 46, no. D1, pp. D1074–D1082, 2018.</w:t>
      </w:r>
    </w:p>
    <w:p xmlns:wp14="http://schemas.microsoft.com/office/word/2010/wordml" w14:paraId="03C72C2F" wp14:textId="77777777">
      <w:pPr>
        <w:spacing w:before="60" w:after="60"/>
        <w:ind w:left="360" w:hanging="360"/>
      </w:pPr>
      <w:r w:rsidRPr="4CBB5BEB" w:rsidR="4CBB5BEB">
        <w:rPr>
          <w:rFonts w:ascii="Arial" w:hAnsi="Arial" w:eastAsia="Arial" w:cs="Arial"/>
          <w:sz w:val="19"/>
          <w:szCs w:val="19"/>
          <w:lang w:val="en-US"/>
        </w:rPr>
        <w:t xml:space="preserve">[4] E. Lim and A. Bhatt, "Drug interactions in the era of precision oncology: Role of computational pharmacology," </w:t>
      </w:r>
      <w:r w:rsidRPr="4CBB5BEB" w:rsidR="4CBB5BEB">
        <w:rPr>
          <w:rFonts w:ascii="Arial" w:hAnsi="Arial" w:eastAsia="Arial" w:cs="Arial"/>
          <w:sz w:val="19"/>
          <w:szCs w:val="19"/>
          <w:lang w:val="en-US"/>
        </w:rPr>
        <w:t>npj</w:t>
      </w:r>
      <w:r w:rsidRPr="4CBB5BEB" w:rsidR="4CBB5BEB">
        <w:rPr>
          <w:rFonts w:ascii="Arial" w:hAnsi="Arial" w:eastAsia="Arial" w:cs="Arial"/>
          <w:sz w:val="19"/>
          <w:szCs w:val="19"/>
          <w:lang w:val="en-US"/>
        </w:rPr>
        <w:t xml:space="preserve"> Precision Oncology, vol. 5, article 34, 2021. [Placeholder — replace with verified citation]</w:t>
      </w:r>
    </w:p>
    <w:p xmlns:wp14="http://schemas.microsoft.com/office/word/2010/wordml" w14:paraId="564A817F" wp14:textId="77777777">
      <w:pPr>
        <w:spacing w:before="60" w:after="60"/>
        <w:ind w:left="360" w:hanging="360"/>
      </w:pPr>
      <w:r>
        <w:rPr>
          <w:rFonts w:ascii="Arial" w:hAnsi="Arial" w:eastAsia="Arial" w:cs="Arial"/>
          <w:sz w:val="19"/>
          <w:szCs w:val="19"/>
        </w:rPr>
        <w:t xml:space="preserve">[5] K. Yang et al., "Analyzing learned molecular representations for property prediction," Journal of Chemical Information and Modeling, vol. 59, no. 8, pp. 3370–3388, 2019.</w:t>
      </w:r>
    </w:p>
    <w:p xmlns:wp14="http://schemas.microsoft.com/office/word/2010/wordml" w14:paraId="41EBCD5A" wp14:textId="77777777">
      <w:pPr>
        <w:spacing w:before="60" w:after="60"/>
        <w:ind w:left="360" w:hanging="360"/>
      </w:pPr>
      <w:r>
        <w:rPr>
          <w:rFonts w:ascii="Arial" w:hAnsi="Arial" w:eastAsia="Arial" w:cs="Arial"/>
          <w:sz w:val="19"/>
          <w:szCs w:val="19"/>
        </w:rPr>
        <w:t xml:space="preserve">[6] D. Rogers and M. Hahn, "Extended-connectivity fingerprints," Journal of Chemical Information and Modeling, vol. 50, no. 5, pp. 742–754, 2010.</w:t>
      </w:r>
    </w:p>
    <w:p xmlns:wp14="http://schemas.microsoft.com/office/word/2010/wordml" w14:paraId="43899BE5" wp14:textId="77777777">
      <w:pPr>
        <w:spacing w:before="60" w:after="60"/>
        <w:ind w:left="360" w:hanging="360"/>
      </w:pPr>
      <w:r>
        <w:rPr>
          <w:rFonts w:ascii="Arial" w:hAnsi="Arial" w:eastAsia="Arial" w:cs="Arial"/>
          <w:sz w:val="19"/>
          <w:szCs w:val="19"/>
        </w:rPr>
        <w:t xml:space="preserve">[7] S. M. Lundberg and S.-I. Lee, "A unified approach to interpreting model predictions," Advances in Neural Information Processing Systems, vol. 30, 2017.</w:t>
      </w:r>
    </w:p>
    <w:p xmlns:wp14="http://schemas.microsoft.com/office/word/2010/wordml" w14:paraId="4C4B8DFC" wp14:textId="77777777">
      <w:pPr>
        <w:spacing w:before="60" w:after="60"/>
        <w:ind w:left="360" w:hanging="360"/>
      </w:pPr>
      <w:r w:rsidRPr="4CBB5BEB" w:rsidR="4CBB5BEB">
        <w:rPr>
          <w:rFonts w:ascii="Arial" w:hAnsi="Arial" w:eastAsia="Arial" w:cs="Arial"/>
          <w:sz w:val="19"/>
          <w:szCs w:val="19"/>
          <w:lang w:val="en-US"/>
        </w:rPr>
        <w:t xml:space="preserve">[8] T. Chen and C. </w:t>
      </w:r>
      <w:r w:rsidRPr="4CBB5BEB" w:rsidR="4CBB5BEB">
        <w:rPr>
          <w:rFonts w:ascii="Arial" w:hAnsi="Arial" w:eastAsia="Arial" w:cs="Arial"/>
          <w:sz w:val="19"/>
          <w:szCs w:val="19"/>
          <w:lang w:val="en-US"/>
        </w:rPr>
        <w:t>Guestrin</w:t>
      </w:r>
      <w:r w:rsidRPr="4CBB5BEB" w:rsidR="4CBB5BEB">
        <w:rPr>
          <w:rFonts w:ascii="Arial" w:hAnsi="Arial" w:eastAsia="Arial" w:cs="Arial"/>
          <w:sz w:val="19"/>
          <w:szCs w:val="19"/>
          <w:lang w:val="en-US"/>
        </w:rPr>
        <w:t>, "</w:t>
      </w:r>
      <w:r w:rsidRPr="4CBB5BEB" w:rsidR="4CBB5BEB">
        <w:rPr>
          <w:rFonts w:ascii="Arial" w:hAnsi="Arial" w:eastAsia="Arial" w:cs="Arial"/>
          <w:sz w:val="19"/>
          <w:szCs w:val="19"/>
          <w:lang w:val="en-US"/>
        </w:rPr>
        <w:t>XGBoost</w:t>
      </w:r>
      <w:r w:rsidRPr="4CBB5BEB" w:rsidR="4CBB5BEB">
        <w:rPr>
          <w:rFonts w:ascii="Arial" w:hAnsi="Arial" w:eastAsia="Arial" w:cs="Arial"/>
          <w:sz w:val="19"/>
          <w:szCs w:val="19"/>
          <w:lang w:val="en-US"/>
        </w:rPr>
        <w:t>: A scalable tree boosting system," in Proc. KDD, pp. 785–794, 2016.</w:t>
      </w:r>
    </w:p>
    <w:p xmlns:wp14="http://schemas.microsoft.com/office/word/2010/wordml" w14:paraId="1501CB3E" wp14:textId="77777777">
      <w:pPr>
        <w:spacing w:before="60" w:after="60"/>
        <w:ind w:left="360" w:hanging="360"/>
      </w:pPr>
      <w:r w:rsidRPr="4CBB5BEB" w:rsidR="4CBB5BEB">
        <w:rPr>
          <w:rFonts w:ascii="Arial" w:hAnsi="Arial" w:eastAsia="Arial" w:cs="Arial"/>
          <w:sz w:val="19"/>
          <w:szCs w:val="19"/>
          <w:lang w:val="en-US"/>
        </w:rPr>
        <w:t>[9] G. Ke et al., "</w:t>
      </w:r>
      <w:r w:rsidRPr="4CBB5BEB" w:rsidR="4CBB5BEB">
        <w:rPr>
          <w:rFonts w:ascii="Arial" w:hAnsi="Arial" w:eastAsia="Arial" w:cs="Arial"/>
          <w:sz w:val="19"/>
          <w:szCs w:val="19"/>
          <w:lang w:val="en-US"/>
        </w:rPr>
        <w:t>LightGBM</w:t>
      </w:r>
      <w:r w:rsidRPr="4CBB5BEB" w:rsidR="4CBB5BEB">
        <w:rPr>
          <w:rFonts w:ascii="Arial" w:hAnsi="Arial" w:eastAsia="Arial" w:cs="Arial"/>
          <w:sz w:val="19"/>
          <w:szCs w:val="19"/>
          <w:lang w:val="en-US"/>
        </w:rPr>
        <w:t>: A highly efficient gradient boosting decision tree," Advances in Neural Information Processing Systems, vol. 30, 2017.</w:t>
      </w:r>
    </w:p>
    <w:p xmlns:wp14="http://schemas.microsoft.com/office/word/2010/wordml" w14:paraId="1883072E" wp14:textId="77777777">
      <w:pPr>
        <w:spacing w:before="60" w:after="60"/>
        <w:ind w:left="360" w:hanging="360"/>
      </w:pPr>
      <w:r w:rsidRPr="4CBB5BEB" w:rsidR="4CBB5BEB">
        <w:rPr>
          <w:rFonts w:ascii="Arial" w:hAnsi="Arial" w:eastAsia="Arial" w:cs="Arial"/>
          <w:sz w:val="19"/>
          <w:szCs w:val="19"/>
          <w:lang w:val="en-US"/>
        </w:rPr>
        <w:t>[10] U.S. Food and Drug Administration, "</w:t>
      </w:r>
      <w:r w:rsidRPr="4CBB5BEB" w:rsidR="4CBB5BEB">
        <w:rPr>
          <w:rFonts w:ascii="Arial" w:hAnsi="Arial" w:eastAsia="Arial" w:cs="Arial"/>
          <w:sz w:val="19"/>
          <w:szCs w:val="19"/>
          <w:lang w:val="en-US"/>
        </w:rPr>
        <w:t>OpenFDA</w:t>
      </w:r>
      <w:r w:rsidRPr="4CBB5BEB" w:rsidR="4CBB5BEB">
        <w:rPr>
          <w:rFonts w:ascii="Arial" w:hAnsi="Arial" w:eastAsia="Arial" w:cs="Arial"/>
          <w:sz w:val="19"/>
          <w:szCs w:val="19"/>
          <w:lang w:val="en-US"/>
        </w:rPr>
        <w:t xml:space="preserve"> Drug Label API," [Online]. Available: https://open.fda.gov/apis/drug/label/ [Accessed April 2026].</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pBdr>
        <w:top w:val="single" w:color="CCCCCC" w:sz="4" w:space="1"/>
      </w:pBdr>
      <w:spacing w:before="80"/>
      <w:jc w:val="right"/>
    </w:pP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CBB5BEB" w14:paraId="206DCA19" wp14:textId="77777777">
    <w:pPr>
      <w:pBdr>
        <w:bottom w:val="single" w:color="1F3864" w:sz="4" w:space="1"/>
      </w:pBdr>
      <w:spacing w:after="120"/>
    </w:pPr>
    <w:r w:rsidRPr="4CBB5BEB" w:rsidR="4CBB5BEB">
      <w:rPr>
        <w:rFonts w:ascii="Arial" w:hAnsi="Arial" w:eastAsia="Arial" w:cs="Arial"/>
        <w:i w:val="1"/>
        <w:iCs w:val="1"/>
        <w:color w:val="444444"/>
        <w:sz w:val="18"/>
        <w:szCs w:val="18"/>
        <w:lang w:val="en-US"/>
      </w:rPr>
      <w:t>OncoFood</w:t>
    </w:r>
    <w:r w:rsidRPr="4CBB5BEB" w:rsidR="4CBB5BEB">
      <w:rPr>
        <w:rFonts w:ascii="Arial" w:hAnsi="Arial" w:eastAsia="Arial" w:cs="Arial"/>
        <w:i w:val="1"/>
        <w:iCs w:val="1"/>
        <w:color w:val="444444"/>
        <w:sz w:val="18"/>
        <w:szCs w:val="18"/>
        <w:lang w:val="en-US"/>
      </w:rPr>
      <w:t>-ML: A Robust, Interpretable Framework for Predicting Food Effects on Anticancer Drug Exposure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b7db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593E09A"/>
    <w:rsid w:val="020D2CF5"/>
    <w:rsid w:val="038D2D71"/>
    <w:rsid w:val="11154A50"/>
    <w:rsid w:val="134081F1"/>
    <w:rsid w:val="1357CE85"/>
    <w:rsid w:val="137A78BF"/>
    <w:rsid w:val="1CA8CD3C"/>
    <w:rsid w:val="1E0CEA83"/>
    <w:rsid w:val="21834C42"/>
    <w:rsid w:val="2593E09A"/>
    <w:rsid w:val="28A0990D"/>
    <w:rsid w:val="2D55363B"/>
    <w:rsid w:val="30E6B1A7"/>
    <w:rsid w:val="3AEFD916"/>
    <w:rsid w:val="4018BDA8"/>
    <w:rsid w:val="4CBB5BEB"/>
    <w:rsid w:val="4E01F600"/>
    <w:rsid w:val="5235D78F"/>
    <w:rsid w:val="5786F568"/>
    <w:rsid w:val="5ED185D8"/>
    <w:rsid w:val="6656AFE7"/>
    <w:rsid w:val="6C76E953"/>
    <w:rsid w:val="75EF1D8B"/>
    <w:rsid w:val="7A13103F"/>
    <w:rsid w:val="7F5194E3"/>
  </w:rsids>
  <w14:docId w14:val="23C70F09"/>
  <w15:docId w15:val="{3E5A0CF9-A617-43F6-9E50-3CC617733E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28"/>
      <w:szCs w:val="28"/>
    </w:rPr>
  </w:style>
  <w:style w:type="paragraph" w:styleId="Heading2">
    <w:name w:val="heading 20"/>
    <w:basedOn w:val="Normal"/>
    <w:next w:val="Normal"/>
    <w:qFormat/>
    <w:pPr>
      <w:spacing w:before="240" w:after="120"/>
      <w:outlineLvl w:val="1"/>
    </w:pPr>
    <w:rPr>
      <w:rFonts w:ascii="Arial" w:hAnsi="Arial" w:eastAsia="Arial" w:cs="Arial"/>
      <w:b/>
      <w:bCs/>
      <w:color w:val="2E539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2133845575" /><Relationship Type="http://schemas.openxmlformats.org/officeDocument/2006/relationships/image" Target="/media/image2.png" Id="rId1462273397" /><Relationship Type="http://schemas.openxmlformats.org/officeDocument/2006/relationships/image" Target="/media/image3.png" Id="rId1799141864" /><Relationship Type="http://schemas.openxmlformats.org/officeDocument/2006/relationships/image" Target="/media/image4.png" Id="rId787166554" /><Relationship Type="http://schemas.openxmlformats.org/officeDocument/2006/relationships/image" Target="/media/image5.png" Id="rId1241569667" /><Relationship Type="http://schemas.openxmlformats.org/officeDocument/2006/relationships/image" Target="/media/image6.png" Id="rId125615917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ALEN DEMELLO</lastModifiedBy>
  <revision>3</revision>
  <dcterms:created xsi:type="dcterms:W3CDTF">2026-04-17T06:49:37.4020000Z</dcterms:created>
  <dcterms:modified xsi:type="dcterms:W3CDTF">2026-04-17T08:41:39.9686244Z</dcterms:modified>
</coreProperties>
</file>

<file path=docProps/custom.xml><?xml version="1.0" encoding="utf-8"?>
<Properties xmlns="http://schemas.openxmlformats.org/officeDocument/2006/custom-properties" xmlns:vt="http://schemas.openxmlformats.org/officeDocument/2006/docPropsVTypes"/>
</file>