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w:t>
      </w:r>
      <w:r>
        <w:lastRenderedPageBreak/>
        <w:t>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[99]</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lastRenderedPageBreak/>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 xml:space="preserve">На сликата 1.1 е скецирана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 xml:space="preserve">се само дел од многуте проблеми и предизвици со кои се соочува апликација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нивниот напредок, односно до нивната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 xml:space="preserve">Голем дел од грижата за пацентите ја превземат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lastRenderedPageBreak/>
        <w:t>Историски развиток на дигиталните досиеа</w:t>
      </w:r>
    </w:p>
    <w:p w:rsidR="00AB2D93" w:rsidRDefault="00AB2D93" w:rsidP="003E5C5F">
      <w:pPr>
        <w:jc w:val="both"/>
      </w:pPr>
      <w:r>
        <w:rPr>
          <w:lang w:val="en-US"/>
        </w:rPr>
        <w:t xml:space="preserve"> </w:t>
      </w:r>
      <w:r w:rsidR="003E5C5F">
        <w:tab/>
        <w:t>Идеата за дигитализирање на хартиените персонални здравствени досиеа е пристутна уште од 1960тите години, кога за прв пат се појавиле комерцијалните компјутери</w:t>
      </w:r>
      <w:r w:rsidR="003E5C5F">
        <w:rPr>
          <w:lang w:val="en-US"/>
        </w:rPr>
        <w:t xml:space="preserve"> [72].</w:t>
      </w:r>
      <w:r w:rsidR="00F11C9F">
        <w:rPr>
          <w:lang w:val="en-US"/>
        </w:rPr>
        <w:t xml:space="preserve"> </w:t>
      </w:r>
      <w:r w:rsidR="00F11C9F">
        <w:t xml:space="preserve">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 xml:space="preserve">Во тоа време и самите лаборатории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Pr>
          <w:lang w:val="en-US"/>
        </w:rPr>
        <w:t>[82]</w:t>
      </w:r>
      <w:r>
        <w:t>.</w:t>
      </w:r>
    </w:p>
    <w:p w:rsidR="009A21E5" w:rsidRDefault="009A21E5" w:rsidP="003E5C5F">
      <w:pPr>
        <w:jc w:val="both"/>
      </w:pPr>
      <w:r>
        <w:tab/>
        <w:t>Предностите на дигиталните над хартиените досиеа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 xml:space="preserve">Уште пред досиеата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 xml:space="preserve">Ова очиглено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 xml:space="preserve">Во многу индустрии автоматизирањето на податоците е имплементирано на високо ниво, но здраствената индустрија заостанува </w:t>
      </w:r>
      <w:r w:rsidR="00AF5856">
        <w:lastRenderedPageBreak/>
        <w:t>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820B2B">
        <w:t>10</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Pr>
          <w:lang w:val="en-US"/>
        </w:rPr>
        <w:t>[7]</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хронични опструктивни белодробни заболувања на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 xml:space="preserve">имаше еден неуспешен обид за имплементација на дигитални дисиеа за пациентите поради лоша организација и лошо менаџирање на проектот. После тоа имаше уште неколку обиди кои исто така завршија неуспешно </w:t>
      </w:r>
      <w:r w:rsidR="005A64D2">
        <w:rPr>
          <w:lang w:val="en-US"/>
        </w:rPr>
        <w:t>[55]</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компатабилен со останатите установи. Синхорнизацијата на сите системи кои се користат во здравството претставува главната пречка за имплементација на дигиталните дисиеа. </w:t>
      </w:r>
    </w:p>
    <w:p w:rsidR="00FF6D5C" w:rsidRDefault="00516DB8" w:rsidP="00472F8E">
      <w:pPr>
        <w:ind w:firstLine="720"/>
        <w:jc w:val="both"/>
      </w:pPr>
      <w:r>
        <w:lastRenderedPageBreak/>
        <w:t xml:space="preserve">Законот за реформи во здравството </w:t>
      </w:r>
      <w:r>
        <w:rPr>
          <w:lang w:val="en-US"/>
        </w:rPr>
        <w:t xml:space="preserve">[919] </w:t>
      </w:r>
      <w:r>
        <w:t xml:space="preserve">во 2013та година овозможи формално правна рамка за развивање на системот за дигитални досиеа. Целта на овој закон е креирање на Национален систем над досиеа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Pr>
          <w:lang w:val="en-US"/>
        </w:rPr>
        <w:t>[878]</w:t>
      </w:r>
      <w:r>
        <w:t>.</w:t>
      </w:r>
    </w:p>
    <w:p w:rsidR="00516DB8" w:rsidRDefault="00595B00" w:rsidP="00472F8E">
      <w:pPr>
        <w:ind w:firstLine="720"/>
        <w:jc w:val="both"/>
        <w:rPr>
          <w:lang w:val="en-US"/>
        </w:rPr>
      </w:pPr>
      <w:r>
        <w:t xml:space="preserve">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досиеа е на релативно високо ниво, но финалното решение сеуште не е имплементирано. </w:t>
      </w:r>
      <w:r w:rsidR="00CE6065">
        <w:rPr>
          <w:lang w:val="en-US"/>
        </w:rPr>
        <w:t xml:space="preserve"> </w:t>
      </w:r>
    </w:p>
    <w:p w:rsidR="00DB7AE2" w:rsidRPr="00CE6065" w:rsidRDefault="00DB7AE2" w:rsidP="00472F8E">
      <w:pPr>
        <w:ind w:firstLine="720"/>
        <w:jc w:val="both"/>
        <w:rPr>
          <w:lang w:val="en-US"/>
        </w:rPr>
      </w:pPr>
    </w:p>
    <w:p w:rsidR="00AF5856" w:rsidRDefault="00A21895" w:rsidP="008A3C17">
      <w:pPr>
        <w:pStyle w:val="Heading2"/>
        <w:numPr>
          <w:ilvl w:val="1"/>
          <w:numId w:val="5"/>
        </w:numPr>
      </w:pPr>
      <w:r>
        <w:t>Студија на случај</w:t>
      </w:r>
      <w:r>
        <w:rPr>
          <w:lang w:val="en-US"/>
        </w:rPr>
        <w:t xml:space="preserve">: </w:t>
      </w:r>
      <w:r>
        <w:t>Данска</w:t>
      </w:r>
    </w:p>
    <w:p w:rsidR="00B32D96" w:rsidRDefault="00DB7AE2" w:rsidP="00B32D96">
      <w:pPr>
        <w:ind w:firstLine="720"/>
        <w:jc w:val="both"/>
      </w:pPr>
      <w:r>
        <w:t>Во последните неколку години во Данска многу се дискутирало за имплементација на дигитални досиеа во здравствениот систем.</w:t>
      </w:r>
      <w:r>
        <w:rPr>
          <w:lang w:val="en-US"/>
        </w:rPr>
        <w:t xml:space="preserve"> </w:t>
      </w:r>
      <w:r>
        <w:t xml:space="preserve">Напредокот во медицината и технологијата докажал дека хартиените досиеа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досиеа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w:t>
      </w:r>
      <w:r w:rsidR="00B72A27">
        <w:lastRenderedPageBreak/>
        <w:t xml:space="preserve">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експретизата и знаењето на медицинскиот персонал не бил искористен.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Многу долго време, лекарите, ит-професиона</w:t>
      </w:r>
      <w:r w:rsidR="002F7AF7">
        <w:t xml:space="preserve">лците и администраторите имале различно видување за улогата на дигиталните досиеа.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ит-професионалците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досиеа и до денес ит-професионалците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во терк и вкус на административните работници. Овие услови придонеле до тоа да улогата на лекарите во процесот на планирање 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досиеа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досиеа.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1B441F" w:rsidRDefault="001B441F" w:rsidP="001B441F">
      <w:pPr>
        <w:pStyle w:val="Heading2"/>
        <w:numPr>
          <w:ilvl w:val="1"/>
          <w:numId w:val="5"/>
        </w:numPr>
        <w:rPr>
          <w:lang w:val="en-US"/>
        </w:rPr>
      </w:pPr>
      <w:r>
        <w:lastRenderedPageBreak/>
        <w:t>Кориснички ориентиран дизајн</w:t>
      </w:r>
      <w:r>
        <w:rPr>
          <w:lang w:val="en-US"/>
        </w:rPr>
        <w:t xml:space="preserve"> </w:t>
      </w:r>
    </w:p>
    <w:p w:rsidR="00ED166C" w:rsidRDefault="00FB45DC" w:rsidP="001B441F">
      <w:pPr>
        <w:ind w:firstLine="720"/>
        <w:jc w:val="both"/>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1500505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r w:rsidR="001B441F">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дефинирани, правилно да бидат рефклектирани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FB45DC" w:rsidRDefault="00FB45D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6117AE" w:rsidRPr="007B3210" w:rsidRDefault="00A32A45" w:rsidP="00A32A45">
      <w:pPr>
        <w:pStyle w:val="Heading1"/>
        <w:numPr>
          <w:ilvl w:val="0"/>
          <w:numId w:val="5"/>
        </w:numPr>
      </w:pPr>
      <w:r>
        <w:lastRenderedPageBreak/>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B72A27" w:rsidRDefault="00B72A27" w:rsidP="00FF29E3">
      <w:pPr>
        <w:ind w:firstLine="720"/>
        <w:jc w:val="both"/>
        <w:rPr>
          <w:rFonts w:cstheme="minorHAnsi"/>
        </w:rPr>
      </w:pPr>
      <w:bookmarkStart w:id="0" w:name="_GoBack"/>
      <w:bookmarkEnd w:id="0"/>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 xml:space="preserve">Целосниот процес низ кој поминуваат пациентите болни од </w:t>
      </w:r>
      <w:r w:rsidR="00C54BC9">
        <w:t xml:space="preserve">хронични опструктивни белодробни заболувања и дијабетес </w:t>
      </w:r>
      <w:r>
        <w:t>е илустриран на следната слика.</w:t>
      </w:r>
    </w:p>
    <w:p w:rsidR="005919B7" w:rsidRPr="00B51B55" w:rsidRDefault="00004051" w:rsidP="005919B7">
      <w:pPr>
        <w:ind w:firstLine="720"/>
        <w:jc w:val="both"/>
        <w:rPr>
          <w:lang w:val="en-US"/>
        </w:rPr>
      </w:pPr>
      <w:r>
        <w:rPr>
          <w:noProof/>
          <w:lang w:val="en-US"/>
        </w:rPr>
        <w:lastRenderedPageBreak/>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 xml:space="preserve">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w:t>
      </w:r>
      <w:r>
        <w:lastRenderedPageBreak/>
        <w:t>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-278130</wp:posOffset>
            </wp:positionH>
            <wp:positionV relativeFrom="paragraph">
              <wp:posOffset>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w:t>
      </w:r>
      <w:r>
        <w:lastRenderedPageBreak/>
        <w:t>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lastRenderedPageBreak/>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 xml:space="preserve">Usability Testing </w:t>
      </w:r>
      <w:proofErr w:type="gramStart"/>
      <w:r w:rsidRPr="00012C28">
        <w:rPr>
          <w:lang w:val="en-US"/>
        </w:rPr>
        <w:t>Of</w:t>
      </w:r>
      <w:proofErr w:type="gramEnd"/>
      <w:r w:rsidRPr="00012C28">
        <w:rPr>
          <w:lang w:val="en-US"/>
        </w:rPr>
        <w:t xml:space="preserve">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t xml:space="preserve">[4] </w:t>
      </w:r>
      <w:r w:rsidR="00AB2D93" w:rsidRPr="00AB2D93">
        <w:rPr>
          <w:lang w:val="en-US"/>
        </w:rPr>
        <w:t xml:space="preserve">How are clinicians involved in EHR planning? A process analysis case study of a Region in Denmark, ARTICLE in STUDIES IN HEALTH TECHNOLOGY AND INFORMATICS · JANUARY 2010, Aalborg </w:t>
      </w:r>
      <w:proofErr w:type="gramStart"/>
      <w:r w:rsidR="00AB2D93" w:rsidRPr="00AB2D93">
        <w:rPr>
          <w:lang w:val="en-US"/>
        </w:rPr>
        <w:t>University ,</w:t>
      </w:r>
      <w:proofErr w:type="gramEnd"/>
      <w:r w:rsidR="00AB2D93" w:rsidRPr="00AB2D93">
        <w:rPr>
          <w:lang w:val="en-US"/>
        </w:rPr>
        <w:t xml:space="preserve">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FA5EA2" w:rsidP="00C60A91">
      <w:pPr>
        <w:rPr>
          <w:lang w:val="en-US"/>
        </w:rPr>
      </w:pPr>
      <w:r>
        <w:rPr>
          <w:lang w:val="en-US"/>
        </w:rPr>
        <w:t xml:space="preserve">[5]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w:t>
      </w:r>
      <w:proofErr w:type="gramStart"/>
      <w:r w:rsidR="00AB2D93" w:rsidRPr="00AB2D93">
        <w:rPr>
          <w:lang w:val="en-US"/>
        </w:rPr>
        <w:t>;102:22</w:t>
      </w:r>
      <w:proofErr w:type="gramEnd"/>
      <w:r w:rsidR="00AB2D93" w:rsidRPr="00AB2D93">
        <w:rPr>
          <w:lang w:val="en-US"/>
        </w:rPr>
        <w:t xml:space="preserve">-30. </w:t>
      </w:r>
    </w:p>
    <w:p w:rsidR="00AB2D93" w:rsidRDefault="008A49A7" w:rsidP="00C60A91">
      <w:pPr>
        <w:rPr>
          <w:lang w:val="en-US"/>
        </w:rPr>
      </w:pPr>
      <w:r>
        <w:rPr>
          <w:lang w:val="en-US"/>
        </w:rPr>
        <w:t xml:space="preserve">[6]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proofErr w:type="gramStart"/>
      <w:r w:rsidR="00AB2D93" w:rsidRPr="00AB2D93">
        <w:rPr>
          <w:lang w:val="en-US"/>
        </w:rPr>
        <w:t>mHealthWatch</w:t>
      </w:r>
      <w:proofErr w:type="spellEnd"/>
      <w:proofErr w:type="gramEnd"/>
      <w:r w:rsidR="00AB2D93" w:rsidRPr="00AB2D93">
        <w:rPr>
          <w:lang w:val="en-US"/>
        </w:rPr>
        <w:t xml:space="preserve">. May 2, 2013. http://mhealthwatch.com/infographic-doctors-prescribing-more-mobile-health-apps-20185/ Accessed January 28, 2015. </w:t>
      </w:r>
    </w:p>
    <w:p w:rsidR="00AB2D93" w:rsidRDefault="00F11C9F" w:rsidP="00F11C9F">
      <w:pPr>
        <w:rPr>
          <w:lang w:val="en-US"/>
        </w:rPr>
      </w:pPr>
      <w:r>
        <w:rPr>
          <w:lang w:val="en-US"/>
        </w:rPr>
        <w:t xml:space="preserve">[72] </w:t>
      </w:r>
      <w:r w:rsidRPr="00F11C9F">
        <w:rPr>
          <w:lang w:val="en-US"/>
        </w:rPr>
        <w:t xml:space="preserve">Jane </w:t>
      </w:r>
      <w:proofErr w:type="spellStart"/>
      <w:r w:rsidRPr="00F11C9F">
        <w:rPr>
          <w:lang w:val="en-US"/>
        </w:rPr>
        <w:t>Grimson</w:t>
      </w:r>
      <w:proofErr w:type="spellEnd"/>
      <w:r w:rsidRPr="00F11C9F">
        <w:rPr>
          <w:lang w:val="en-US"/>
        </w:rPr>
        <w:t xml:space="preserve">, William </w:t>
      </w:r>
      <w:proofErr w:type="spellStart"/>
      <w:r w:rsidRPr="00F11C9F">
        <w:rPr>
          <w:lang w:val="en-US"/>
        </w:rPr>
        <w:t>Grimson</w:t>
      </w:r>
      <w:proofErr w:type="spellEnd"/>
      <w:proofErr w:type="gramStart"/>
      <w:r w:rsidRPr="00F11C9F">
        <w:rPr>
          <w:lang w:val="en-US"/>
        </w:rPr>
        <w:t>,,</w:t>
      </w:r>
      <w:proofErr w:type="gramEnd"/>
      <w:r w:rsidRPr="00F11C9F">
        <w:rPr>
          <w:lang w:val="en-US"/>
        </w:rPr>
        <w:t xml:space="preserve"> Wilhelm </w:t>
      </w:r>
      <w:proofErr w:type="spellStart"/>
      <w:r w:rsidRPr="00F11C9F">
        <w:rPr>
          <w:lang w:val="en-US"/>
        </w:rPr>
        <w:t>Hasselbring</w:t>
      </w:r>
      <w:proofErr w:type="spellEnd"/>
      <w:r w:rsidRPr="00F11C9F">
        <w:rPr>
          <w:lang w:val="en-US"/>
        </w:rPr>
        <w:t>, “The SI Challenge in</w:t>
      </w:r>
      <w:r>
        <w:rPr>
          <w:lang w:val="en-US"/>
        </w:rPr>
        <w:t xml:space="preserve"> </w:t>
      </w:r>
      <w:r w:rsidRPr="00F11C9F">
        <w:rPr>
          <w:lang w:val="en-US"/>
        </w:rPr>
        <w:t>the Health Care”, Communications of the ACM, June 2000/Vol. 43, No. 6</w:t>
      </w:r>
    </w:p>
    <w:p w:rsidR="00AB2D93" w:rsidRDefault="009A21E5" w:rsidP="00C60A91">
      <w:pPr>
        <w:rPr>
          <w:lang w:val="en-US"/>
        </w:rPr>
      </w:pPr>
      <w:r w:rsidRPr="009A21E5">
        <w:rPr>
          <w:lang w:val="en-US"/>
        </w:rPr>
        <w:t>[</w:t>
      </w:r>
      <w:r>
        <w:t>82</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9A21E5" w:rsidRDefault="006958DF" w:rsidP="006958DF">
      <w:pPr>
        <w:rPr>
          <w:lang w:val="en-US"/>
        </w:rPr>
      </w:pPr>
      <w:r>
        <w:rPr>
          <w:lang w:val="en-US"/>
        </w:rPr>
        <w:t xml:space="preserve">[99]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9A21E5" w:rsidRDefault="005A64D2" w:rsidP="005A64D2">
      <w:pPr>
        <w:rPr>
          <w:lang w:val="en-US"/>
        </w:rPr>
      </w:pPr>
      <w:r>
        <w:rPr>
          <w:lang w:val="en-US"/>
        </w:rPr>
        <w:lastRenderedPageBreak/>
        <w:t xml:space="preserve">[55]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516DB8" w:rsidRDefault="00516DB8" w:rsidP="00516DB8">
      <w:pPr>
        <w:rPr>
          <w:lang w:val="en-US"/>
        </w:rPr>
      </w:pPr>
      <w:r>
        <w:rPr>
          <w:lang w:val="en-US"/>
        </w:rPr>
        <w:t xml:space="preserve">[919] </w:t>
      </w:r>
      <w:r w:rsidRPr="00516DB8">
        <w:rPr>
          <w:lang w:val="en-US"/>
        </w:rPr>
        <w:t>Law for Healthcare. Official Gazette of the Republic of Macedonia. No. 10/2013, 87/2013,</w:t>
      </w:r>
      <w:r>
        <w:rPr>
          <w:lang w:val="en-US"/>
        </w:rPr>
        <w:t xml:space="preserve"> </w:t>
      </w:r>
      <w:r w:rsidRPr="00516DB8">
        <w:rPr>
          <w:lang w:val="en-US"/>
        </w:rPr>
        <w:t>132/2013, and 164/2013.</w:t>
      </w:r>
    </w:p>
    <w:p w:rsidR="00516DB8" w:rsidRDefault="00516DB8" w:rsidP="00516DB8">
      <w:pPr>
        <w:rPr>
          <w:lang w:val="en-US"/>
        </w:rPr>
      </w:pPr>
      <w:r>
        <w:rPr>
          <w:lang w:val="en-US"/>
        </w:rPr>
        <w:t xml:space="preserve">[878]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current</w:t>
      </w:r>
      <w:proofErr w:type="gramEnd"/>
      <w:r w:rsidRPr="00516DB8">
        <w:rPr>
          <w:lang w:val="en-US"/>
        </w:rPr>
        <w:t xml:space="preserve"> September 2015)</w:t>
      </w:r>
      <w:r w:rsidRPr="00516DB8">
        <w:rPr>
          <w:lang w:val="en-US"/>
        </w:rPr>
        <w:cr/>
      </w:r>
    </w:p>
    <w:p w:rsidR="009A21E5" w:rsidRDefault="009A21E5" w:rsidP="00C60A91">
      <w:pPr>
        <w:rPr>
          <w:lang w:val="en-US"/>
        </w:rPr>
      </w:pP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r w:rsidR="007874C6">
        <w:fldChar w:fldCharType="begin"/>
      </w:r>
      <w:r w:rsidR="007874C6">
        <w:instrText xml:space="preserve"> HYPERLINK "http://www.medscape.com/viewarticle/803503" </w:instrText>
      </w:r>
      <w:r w:rsidR="007874C6">
        <w:fldChar w:fldCharType="separate"/>
      </w:r>
      <w:r>
        <w:rPr>
          <w:rStyle w:val="Hyperlink"/>
          <w:rFonts w:ascii="Arial" w:hAnsi="Arial" w:cs="Arial"/>
          <w:color w:val="5757A6"/>
          <w:sz w:val="19"/>
          <w:szCs w:val="19"/>
          <w:shd w:val="clear" w:color="auto" w:fill="FFFFFF"/>
        </w:rPr>
        <w:t>http://www.medscape.com/viewarticle/803503</w:t>
      </w:r>
      <w:r w:rsidR="007874C6">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r w:rsidR="007874C6">
        <w:fldChar w:fldCharType="begin"/>
      </w:r>
      <w:r w:rsidR="007874C6">
        <w:instrText xml:space="preserve"> HYPERLINK "http://www.prnewswire.com/news-releases/stethoscopes-and-smartphones-physicians-turn-to-digital-tools-to-boost-patient-outcomes-261089461.html" </w:instrText>
      </w:r>
      <w:r w:rsidR="007874C6">
        <w:fldChar w:fldCharType="separate"/>
      </w:r>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r w:rsidR="007874C6">
        <w:rPr>
          <w:rStyle w:val="Hyperlink"/>
          <w:rFonts w:ascii="Arial" w:hAnsi="Arial" w:cs="Arial"/>
          <w:color w:val="5757A6"/>
          <w:sz w:val="19"/>
          <w:szCs w:val="19"/>
          <w:shd w:val="clear" w:color="auto" w:fill="FFFFFF"/>
        </w:rP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t>[9]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w:t>
      </w:r>
      <w:proofErr w:type="gramStart"/>
      <w:r>
        <w:t>;74</w:t>
      </w:r>
      <w:proofErr w:type="gramEnd"/>
      <w:r>
        <w:t>(4):414-419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6" w:anchor="tab_04_2" w:history="1">
        <w:r>
          <w:rPr>
            <w:rStyle w:val="Hyperlink"/>
            <w:rFonts w:ascii="Arial" w:hAnsi="Arial" w:cs="Arial"/>
            <w:color w:val="207CC1"/>
            <w:sz w:val="18"/>
            <w:szCs w:val="18"/>
          </w:rPr>
          <w:t>Travis Lowdermilk</w:t>
        </w:r>
      </w:hyperlink>
    </w:p>
    <w:p w:rsidR="001A0DD4" w:rsidRPr="001A0DD4" w:rsidRDefault="001B441F" w:rsidP="00B32D96">
      <w:pPr>
        <w:shd w:val="clear" w:color="auto" w:fill="FFFFFF"/>
        <w:rPr>
          <w:lang w:val="en-US"/>
        </w:rPr>
      </w:pPr>
      <w:r>
        <w:rPr>
          <w:rFonts w:ascii="Arial" w:hAnsi="Arial" w:cs="Arial"/>
          <w:color w:val="333333"/>
          <w:sz w:val="18"/>
          <w:szCs w:val="18"/>
        </w:rPr>
        <w:t>Publisher: O'Reilly Media</w:t>
      </w:r>
    </w:p>
    <w:sectPr w:rsidR="001A0DD4" w:rsidRPr="001A0DD4" w:rsidSect="00D6020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4C6" w:rsidRDefault="007874C6" w:rsidP="00D6020C">
      <w:pPr>
        <w:spacing w:after="0" w:line="240" w:lineRule="auto"/>
      </w:pPr>
      <w:r>
        <w:separator/>
      </w:r>
    </w:p>
  </w:endnote>
  <w:endnote w:type="continuationSeparator" w:id="0">
    <w:p w:rsidR="007874C6" w:rsidRDefault="007874C6"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E27205">
          <w:rPr>
            <w:noProof/>
          </w:rPr>
          <w:t>12</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4C6" w:rsidRDefault="007874C6" w:rsidP="00D6020C">
      <w:pPr>
        <w:spacing w:after="0" w:line="240" w:lineRule="auto"/>
      </w:pPr>
      <w:r>
        <w:separator/>
      </w:r>
    </w:p>
  </w:footnote>
  <w:footnote w:type="continuationSeparator" w:id="0">
    <w:p w:rsidR="007874C6" w:rsidRDefault="007874C6"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6"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1"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7"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16"/>
  </w:num>
  <w:num w:numId="5">
    <w:abstractNumId w:val="6"/>
  </w:num>
  <w:num w:numId="6">
    <w:abstractNumId w:val="8"/>
  </w:num>
  <w:num w:numId="7">
    <w:abstractNumId w:val="9"/>
  </w:num>
  <w:num w:numId="8">
    <w:abstractNumId w:val="15"/>
  </w:num>
  <w:num w:numId="9">
    <w:abstractNumId w:val="14"/>
  </w:num>
  <w:num w:numId="10">
    <w:abstractNumId w:val="10"/>
  </w:num>
  <w:num w:numId="11">
    <w:abstractNumId w:val="0"/>
  </w:num>
  <w:num w:numId="12">
    <w:abstractNumId w:val="12"/>
  </w:num>
  <w:num w:numId="13">
    <w:abstractNumId w:val="5"/>
  </w:num>
  <w:num w:numId="14">
    <w:abstractNumId w:val="3"/>
  </w:num>
  <w:num w:numId="15">
    <w:abstractNumId w:val="2"/>
  </w:num>
  <w:num w:numId="16">
    <w:abstractNumId w:val="1"/>
  </w:num>
  <w:num w:numId="17">
    <w:abstractNumId w:val="11"/>
  </w:num>
  <w:num w:numId="18">
    <w:abstractNumId w:val="1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21743"/>
    <w:rsid w:val="0004369F"/>
    <w:rsid w:val="00056A0E"/>
    <w:rsid w:val="00062DA4"/>
    <w:rsid w:val="000878A5"/>
    <w:rsid w:val="000959AF"/>
    <w:rsid w:val="00096B1C"/>
    <w:rsid w:val="000E3ED5"/>
    <w:rsid w:val="001374DC"/>
    <w:rsid w:val="00177EAF"/>
    <w:rsid w:val="00186C48"/>
    <w:rsid w:val="00190633"/>
    <w:rsid w:val="00195544"/>
    <w:rsid w:val="001A0DD4"/>
    <w:rsid w:val="001B15BA"/>
    <w:rsid w:val="001B441F"/>
    <w:rsid w:val="001B4FAD"/>
    <w:rsid w:val="001D1DE2"/>
    <w:rsid w:val="001F39A1"/>
    <w:rsid w:val="001F4A01"/>
    <w:rsid w:val="001F7E15"/>
    <w:rsid w:val="0021286A"/>
    <w:rsid w:val="0024519D"/>
    <w:rsid w:val="00247578"/>
    <w:rsid w:val="00253E78"/>
    <w:rsid w:val="002552EE"/>
    <w:rsid w:val="0026308D"/>
    <w:rsid w:val="00263439"/>
    <w:rsid w:val="00266A55"/>
    <w:rsid w:val="002707BE"/>
    <w:rsid w:val="002959D0"/>
    <w:rsid w:val="002A12D6"/>
    <w:rsid w:val="002A6A54"/>
    <w:rsid w:val="002C2873"/>
    <w:rsid w:val="002C5A76"/>
    <w:rsid w:val="002D7355"/>
    <w:rsid w:val="002E0E51"/>
    <w:rsid w:val="002E18DE"/>
    <w:rsid w:val="002E7B7B"/>
    <w:rsid w:val="002F7AF7"/>
    <w:rsid w:val="003078AE"/>
    <w:rsid w:val="003079BA"/>
    <w:rsid w:val="0031280E"/>
    <w:rsid w:val="00343BA1"/>
    <w:rsid w:val="00380D7E"/>
    <w:rsid w:val="00382FC0"/>
    <w:rsid w:val="00397AC5"/>
    <w:rsid w:val="003A05B1"/>
    <w:rsid w:val="003B0E9E"/>
    <w:rsid w:val="003D4DF5"/>
    <w:rsid w:val="003E5C5F"/>
    <w:rsid w:val="003F10A4"/>
    <w:rsid w:val="003F630E"/>
    <w:rsid w:val="00412DF0"/>
    <w:rsid w:val="00433096"/>
    <w:rsid w:val="00457FB7"/>
    <w:rsid w:val="00460759"/>
    <w:rsid w:val="00472F8E"/>
    <w:rsid w:val="00484DF3"/>
    <w:rsid w:val="004A730B"/>
    <w:rsid w:val="004B3AE3"/>
    <w:rsid w:val="004D3334"/>
    <w:rsid w:val="004E7D2B"/>
    <w:rsid w:val="004F7815"/>
    <w:rsid w:val="00516DB8"/>
    <w:rsid w:val="00545127"/>
    <w:rsid w:val="00572A03"/>
    <w:rsid w:val="00577A1D"/>
    <w:rsid w:val="005919B7"/>
    <w:rsid w:val="00595B00"/>
    <w:rsid w:val="005A1B9C"/>
    <w:rsid w:val="005A64D2"/>
    <w:rsid w:val="005B1856"/>
    <w:rsid w:val="005B4576"/>
    <w:rsid w:val="005C2E0F"/>
    <w:rsid w:val="005C57C2"/>
    <w:rsid w:val="005D4837"/>
    <w:rsid w:val="005F14F8"/>
    <w:rsid w:val="00610F41"/>
    <w:rsid w:val="006117AE"/>
    <w:rsid w:val="0063490F"/>
    <w:rsid w:val="00652674"/>
    <w:rsid w:val="00660102"/>
    <w:rsid w:val="0066188D"/>
    <w:rsid w:val="006666A9"/>
    <w:rsid w:val="00676C9E"/>
    <w:rsid w:val="00676E4E"/>
    <w:rsid w:val="006958DF"/>
    <w:rsid w:val="00697437"/>
    <w:rsid w:val="006A5695"/>
    <w:rsid w:val="006B62AC"/>
    <w:rsid w:val="006D682B"/>
    <w:rsid w:val="006E5915"/>
    <w:rsid w:val="00740511"/>
    <w:rsid w:val="007874C6"/>
    <w:rsid w:val="00795E59"/>
    <w:rsid w:val="007A2393"/>
    <w:rsid w:val="007B3210"/>
    <w:rsid w:val="007C532E"/>
    <w:rsid w:val="007D697D"/>
    <w:rsid w:val="007E7494"/>
    <w:rsid w:val="007F670F"/>
    <w:rsid w:val="0081628C"/>
    <w:rsid w:val="00820B2B"/>
    <w:rsid w:val="00842A1D"/>
    <w:rsid w:val="008A0EFD"/>
    <w:rsid w:val="008A3C17"/>
    <w:rsid w:val="008A3C50"/>
    <w:rsid w:val="008A46F2"/>
    <w:rsid w:val="008A49A7"/>
    <w:rsid w:val="008B7DEC"/>
    <w:rsid w:val="008E4AAA"/>
    <w:rsid w:val="009054B0"/>
    <w:rsid w:val="0093047C"/>
    <w:rsid w:val="0094262C"/>
    <w:rsid w:val="0094592F"/>
    <w:rsid w:val="009527F0"/>
    <w:rsid w:val="009539E8"/>
    <w:rsid w:val="009A21E5"/>
    <w:rsid w:val="009B5596"/>
    <w:rsid w:val="009B5EEA"/>
    <w:rsid w:val="00A16588"/>
    <w:rsid w:val="00A215A3"/>
    <w:rsid w:val="00A21895"/>
    <w:rsid w:val="00A24B34"/>
    <w:rsid w:val="00A32A45"/>
    <w:rsid w:val="00A57F7D"/>
    <w:rsid w:val="00A745ED"/>
    <w:rsid w:val="00A7552A"/>
    <w:rsid w:val="00A97D49"/>
    <w:rsid w:val="00A97D4B"/>
    <w:rsid w:val="00AA4919"/>
    <w:rsid w:val="00AB2D93"/>
    <w:rsid w:val="00AB3312"/>
    <w:rsid w:val="00AE4BA2"/>
    <w:rsid w:val="00AF4780"/>
    <w:rsid w:val="00AF5856"/>
    <w:rsid w:val="00B258C3"/>
    <w:rsid w:val="00B302E1"/>
    <w:rsid w:val="00B32D96"/>
    <w:rsid w:val="00B4785C"/>
    <w:rsid w:val="00B51B55"/>
    <w:rsid w:val="00B56703"/>
    <w:rsid w:val="00B727BF"/>
    <w:rsid w:val="00B72A27"/>
    <w:rsid w:val="00B80714"/>
    <w:rsid w:val="00B85FF0"/>
    <w:rsid w:val="00B86E7E"/>
    <w:rsid w:val="00BA0304"/>
    <w:rsid w:val="00BA1F66"/>
    <w:rsid w:val="00BD3FF8"/>
    <w:rsid w:val="00BD5725"/>
    <w:rsid w:val="00C07CBA"/>
    <w:rsid w:val="00C14D20"/>
    <w:rsid w:val="00C17048"/>
    <w:rsid w:val="00C31004"/>
    <w:rsid w:val="00C52F80"/>
    <w:rsid w:val="00C54BC9"/>
    <w:rsid w:val="00C57302"/>
    <w:rsid w:val="00C60A91"/>
    <w:rsid w:val="00C674BF"/>
    <w:rsid w:val="00C8244B"/>
    <w:rsid w:val="00C8463B"/>
    <w:rsid w:val="00C85AF1"/>
    <w:rsid w:val="00CD4192"/>
    <w:rsid w:val="00CE6065"/>
    <w:rsid w:val="00CF0886"/>
    <w:rsid w:val="00CF4CD7"/>
    <w:rsid w:val="00D162DE"/>
    <w:rsid w:val="00D6020C"/>
    <w:rsid w:val="00D77B39"/>
    <w:rsid w:val="00D837F3"/>
    <w:rsid w:val="00DA0707"/>
    <w:rsid w:val="00DB3BA4"/>
    <w:rsid w:val="00DB632B"/>
    <w:rsid w:val="00DB7AE2"/>
    <w:rsid w:val="00DD6888"/>
    <w:rsid w:val="00DE2B2E"/>
    <w:rsid w:val="00DF01F5"/>
    <w:rsid w:val="00E02C94"/>
    <w:rsid w:val="00E05630"/>
    <w:rsid w:val="00E11CF2"/>
    <w:rsid w:val="00E22563"/>
    <w:rsid w:val="00E27205"/>
    <w:rsid w:val="00E3274A"/>
    <w:rsid w:val="00E465AD"/>
    <w:rsid w:val="00E47416"/>
    <w:rsid w:val="00E70FC9"/>
    <w:rsid w:val="00E73CD4"/>
    <w:rsid w:val="00E83410"/>
    <w:rsid w:val="00EB5915"/>
    <w:rsid w:val="00EC0C60"/>
    <w:rsid w:val="00ED166C"/>
    <w:rsid w:val="00EE2C02"/>
    <w:rsid w:val="00EE447F"/>
    <w:rsid w:val="00EF1098"/>
    <w:rsid w:val="00EF5819"/>
    <w:rsid w:val="00F11C9F"/>
    <w:rsid w:val="00F14150"/>
    <w:rsid w:val="00F92284"/>
    <w:rsid w:val="00FA5DC7"/>
    <w:rsid w:val="00FA5EA2"/>
    <w:rsid w:val="00FB45DC"/>
    <w:rsid w:val="00FC70B7"/>
    <w:rsid w:val="00FD23EE"/>
    <w:rsid w:val="00FE505E"/>
    <w:rsid w:val="00FF29E3"/>
    <w:rsid w:val="00FF6D5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9097"/>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59"/>
    <w:rPr>
      <w:rFonts w:ascii="Roboto" w:hAnsi="Roboto"/>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A54"/>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A54"/>
    <w:rPr>
      <w:rFonts w:ascii="Roboto Light" w:eastAsiaTheme="majorEastAsia" w:hAnsi="Roboto Light"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op.oreilly.com/product/0636920028741.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2DBC-B8AE-4C53-A5E9-02CF2D45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5583</Words>
  <Characters>31825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35</cp:revision>
  <dcterms:created xsi:type="dcterms:W3CDTF">2017-05-13T14:25:00Z</dcterms:created>
  <dcterms:modified xsi:type="dcterms:W3CDTF">2017-05-15T18:51:00Z</dcterms:modified>
</cp:coreProperties>
</file>