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3A05B1" w:rsidRPr="00A96ED2"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740511" w:rsidRDefault="00740511" w:rsidP="00B85FF0">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Default="005B4576" w:rsidP="005B4576">
      <w:pPr>
        <w:ind w:firstLine="720"/>
        <w:jc w:val="both"/>
        <w:rPr>
          <w:lang w:val="en-US"/>
        </w:rPr>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w:t>
      </w:r>
      <w:r>
        <w:t xml:space="preserve">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w:t>
      </w:r>
      <w:r>
        <w:lastRenderedPageBreak/>
        <w:t>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w:t>
      </w:r>
      <w:bookmarkStart w:id="0" w:name="_GoBack"/>
      <w:bookmarkEnd w:id="0"/>
      <w:r w:rsidR="008E4AAA">
        <w:t>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 xml:space="preserve">На сликата 1.1 е скецирана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w:t>
      </w:r>
      <w:r>
        <w:t>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 xml:space="preserve">се само дел од многуте проблеми и предизвици со кои се соочува апликација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нивниот напредок, односно до нивната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 xml:space="preserve">Голем дел од грижата за пацентите ја превземат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81628C" w:rsidRDefault="00412DF0" w:rsidP="0081628C">
      <w:pPr>
        <w:pStyle w:val="Heading1"/>
        <w:numPr>
          <w:ilvl w:val="0"/>
          <w:numId w:val="5"/>
        </w:numPr>
      </w:pPr>
      <w:r>
        <w:lastRenderedPageBreak/>
        <w:t>Релевантни истражувања</w:t>
      </w:r>
    </w:p>
    <w:p w:rsidR="004F7815" w:rsidRDefault="00412DF0" w:rsidP="004F7815">
      <w:pPr>
        <w:pStyle w:val="Heading2"/>
        <w:numPr>
          <w:ilvl w:val="1"/>
          <w:numId w:val="5"/>
        </w:numPr>
      </w:pPr>
      <w:r>
        <w:t>Истражувања поврзани</w:t>
      </w:r>
      <w:r w:rsidR="00577A1D">
        <w:t xml:space="preserve">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820B2B">
        <w:t>10</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Pr>
          <w:lang w:val="en-US"/>
        </w:rPr>
        <w:t>[7]</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w:t>
      </w:r>
      <w:r w:rsidR="00412DF0">
        <w:lastRenderedPageBreak/>
        <w:t>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 xml:space="preserve">придонес во делот на здравстовото каде што се наоѓаат болните од </w:t>
      </w:r>
      <w:r w:rsidR="00412DF0">
        <w:t>хронични опструктивни белодробни заболувања на дијабетес</w:t>
      </w:r>
      <w:r w:rsidR="00E47416">
        <w:t>.</w:t>
      </w:r>
    </w:p>
    <w:p w:rsidR="00412DF0" w:rsidRPr="002552EE" w:rsidRDefault="00412DF0" w:rsidP="00E47416">
      <w:pPr>
        <w:ind w:firstLine="720"/>
        <w:jc w:val="both"/>
      </w:pPr>
    </w:p>
    <w:p w:rsidR="00AF5856" w:rsidRDefault="00A21895" w:rsidP="008A3C17">
      <w:pPr>
        <w:pStyle w:val="Heading2"/>
        <w:numPr>
          <w:ilvl w:val="1"/>
          <w:numId w:val="5"/>
        </w:numPr>
      </w:pPr>
      <w:r>
        <w:t>Студија на случај</w:t>
      </w:r>
      <w:r>
        <w:rPr>
          <w:lang w:val="en-US"/>
        </w:rPr>
        <w:t xml:space="preserve">: </w:t>
      </w:r>
      <w:r>
        <w:t>Данска</w:t>
      </w:r>
    </w:p>
    <w:p w:rsidR="007D697D" w:rsidRDefault="00F14150" w:rsidP="007D697D">
      <w:pPr>
        <w:jc w:val="both"/>
      </w:pPr>
      <w:r>
        <w:tab/>
      </w:r>
      <w:r w:rsidR="007D697D">
        <w:t xml:space="preserve">Искуството во Данска </w:t>
      </w:r>
      <w:r w:rsidR="00A21895">
        <w:t xml:space="preserve">досега </w:t>
      </w:r>
      <w:r w:rsidR="007D697D">
        <w:t xml:space="preserve">покажало дека имплементацијата на дигитални решенија често носи со себе нови проблеми, најчесто во делот на организацијата. </w:t>
      </w:r>
      <w:r w:rsidR="002552EE">
        <w:t xml:space="preserve"> </w:t>
      </w:r>
      <w:r w:rsidR="007D697D">
        <w:t xml:space="preserve">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p>
    <w:p w:rsidR="00F14150" w:rsidRPr="00B72A27" w:rsidRDefault="007D697D" w:rsidP="007D697D">
      <w:pPr>
        <w:jc w:val="both"/>
      </w:pPr>
      <w:r>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експретизата и знаењето на медицинскиот персонал не бил искористен.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A1F66" w:rsidRPr="00B86E7E"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 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Pr>
          <w:lang w:val="en-US"/>
        </w:rPr>
        <w:t xml:space="preserve"> </w:t>
      </w:r>
    </w:p>
    <w:p w:rsidR="001B15BA" w:rsidRDefault="001B15BA" w:rsidP="001B441F">
      <w:pPr>
        <w:rPr>
          <w:lang w:val="en-US"/>
        </w:rPr>
      </w:pPr>
    </w:p>
    <w:p w:rsidR="001B441F" w:rsidRDefault="001B441F" w:rsidP="001B441F">
      <w:pPr>
        <w:pStyle w:val="Heading2"/>
        <w:numPr>
          <w:ilvl w:val="1"/>
          <w:numId w:val="5"/>
        </w:numPr>
        <w:rPr>
          <w:lang w:val="en-US"/>
        </w:rPr>
      </w:pPr>
      <w:r>
        <w:t>Кориснички ориентиран дизајн</w:t>
      </w:r>
      <w:r>
        <w:rPr>
          <w:lang w:val="en-US"/>
        </w:rPr>
        <w:t xml:space="preserve"> </w:t>
      </w:r>
    </w:p>
    <w:p w:rsidR="00E70FC9" w:rsidRPr="00660102" w:rsidRDefault="001B441F" w:rsidP="001B441F">
      <w:pPr>
        <w:ind w:firstLine="720"/>
        <w:jc w:val="both"/>
        <w:rPr>
          <w:lang w:val="en-US"/>
        </w:rPr>
      </w:pPr>
      <w:r>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w:t>
      </w:r>
      <w:r w:rsidR="00B86E7E">
        <w:lastRenderedPageBreak/>
        <w:t>корисничките побарувања</w:t>
      </w:r>
      <w:r w:rsidR="00BD3FF8">
        <w:rPr>
          <w:lang w:val="en-US"/>
        </w:rPr>
        <w:t xml:space="preserve"> </w:t>
      </w:r>
      <w:r w:rsidR="00BD3FF8">
        <w:t>да</w:t>
      </w:r>
      <w:r w:rsidR="00B86E7E">
        <w:t xml:space="preserve"> се јасно дефинирани, правилно да бидат рефклектирани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A97D49" w:rsidRPr="00A97D49" w:rsidRDefault="00A97D49" w:rsidP="00A97D49">
      <w:pPr>
        <w:ind w:left="720"/>
      </w:pPr>
    </w:p>
    <w:p w:rsidR="006117AE" w:rsidRPr="007B3210" w:rsidRDefault="00A32A45" w:rsidP="00A32A45">
      <w:pPr>
        <w:pStyle w:val="Heading1"/>
        <w:numPr>
          <w:ilvl w:val="0"/>
          <w:numId w:val="5"/>
        </w:numPr>
      </w:pPr>
      <w:r>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B72A27" w:rsidRDefault="00B72A27" w:rsidP="00FF29E3">
      <w:pPr>
        <w:ind w:firstLine="720"/>
        <w:jc w:val="both"/>
        <w:rPr>
          <w:rFonts w:cstheme="minorHAnsi"/>
        </w:rPr>
      </w:pP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lastRenderedPageBreak/>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 xml:space="preserve">Целосниот процес низ кој поминуваат пациентите болни од </w:t>
      </w:r>
      <w:r w:rsidR="00C54BC9">
        <w:t xml:space="preserve">хронични опструктивни белодробни заболувања и дијабетес </w:t>
      </w:r>
      <w:r>
        <w:t>е илустриран на следната слика.</w:t>
      </w:r>
    </w:p>
    <w:p w:rsidR="005919B7" w:rsidRPr="00B51B55" w:rsidRDefault="00004051" w:rsidP="005919B7">
      <w:pPr>
        <w:ind w:firstLine="720"/>
        <w:jc w:val="both"/>
        <w:rPr>
          <w:lang w:val="en-US"/>
        </w:rPr>
      </w:pPr>
      <w:r>
        <w:rPr>
          <w:noProof/>
          <w:lang w:val="en-US"/>
        </w:rPr>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w:t>
      </w:r>
      <w:r w:rsidR="00C17048">
        <w:lastRenderedPageBreak/>
        <w:t xml:space="preserve">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-278130</wp:posOffset>
            </wp:positionH>
            <wp:positionV relativeFrom="paragraph">
              <wp:posOffset>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w:t>
      </w:r>
      <w:r>
        <w:lastRenderedPageBreak/>
        <w:t>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lastRenderedPageBreak/>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 xml:space="preserve">Usability Testing </w:t>
      </w:r>
      <w:proofErr w:type="gramStart"/>
      <w:r w:rsidRPr="00012C28">
        <w:rPr>
          <w:lang w:val="en-US"/>
        </w:rPr>
        <w:t>Of</w:t>
      </w:r>
      <w:proofErr w:type="gramEnd"/>
      <w:r w:rsidRPr="00012C28">
        <w:rPr>
          <w:lang w:val="en-US"/>
        </w:rPr>
        <w:t xml:space="preserve">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Pr="009B5EEA" w:rsidRDefault="009B5EEA" w:rsidP="009B5EEA">
      <w:pPr>
        <w:rPr>
          <w:lang w:val="en-US"/>
        </w:rPr>
      </w:pPr>
      <w:r>
        <w:t>Направено е тестирање на апликацијата од страна на целните групи</w:t>
      </w: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t xml:space="preserve">[4] </w:t>
      </w:r>
      <w:r w:rsidRPr="00EE2C02">
        <w:rPr>
          <w:lang w:val="en-US"/>
        </w:rPr>
        <w:t>How are clinicians involved in EHR planning? A process analysis case study of a Region in Denmark</w:t>
      </w:r>
      <w:r w:rsidR="004D3334">
        <w:rPr>
          <w:lang w:val="en-US"/>
        </w:rPr>
        <w:t xml:space="preserve">, </w:t>
      </w:r>
      <w:r w:rsidR="004D3334">
        <w:rPr>
          <w:rFonts w:ascii="SourceSansPro-Semibold" w:hAnsi="SourceSansPro-Semibold" w:cs="SourceSansPro-Semibold"/>
          <w:color w:val="222222"/>
          <w:sz w:val="20"/>
          <w:szCs w:val="20"/>
        </w:rPr>
        <w:t xml:space="preserve">ARTICLE </w:t>
      </w:r>
      <w:r w:rsidR="004D3334">
        <w:rPr>
          <w:rFonts w:ascii="SourceSansPro-It" w:hAnsi="SourceSansPro-It" w:cs="SourceSansPro-It"/>
          <w:color w:val="B5B5B5"/>
          <w:sz w:val="20"/>
          <w:szCs w:val="20"/>
        </w:rPr>
        <w:t xml:space="preserve">in </w:t>
      </w:r>
      <w:r w:rsidR="004D3334">
        <w:rPr>
          <w:rFonts w:ascii="SourceSansPro-Regular" w:hAnsi="SourceSansPro-Regular" w:cs="SourceSansPro-Regular"/>
          <w:color w:val="333333"/>
          <w:sz w:val="20"/>
          <w:szCs w:val="20"/>
        </w:rPr>
        <w:t>STUDIES IN HEALTH TECHNOLOGY AND INFORMATICS · JANUARY 2010</w:t>
      </w:r>
      <w:r w:rsidR="004D3334">
        <w:rPr>
          <w:rFonts w:cs="SourceSansPro-Regular"/>
          <w:color w:val="333333"/>
          <w:sz w:val="20"/>
          <w:szCs w:val="20"/>
          <w:lang w:val="en-US"/>
        </w:rPr>
        <w:t xml:space="preserve">, Aalborg </w:t>
      </w:r>
      <w:proofErr w:type="gramStart"/>
      <w:r w:rsidR="004D3334">
        <w:rPr>
          <w:rFonts w:cs="SourceSansPro-Regular"/>
          <w:color w:val="333333"/>
          <w:sz w:val="20"/>
          <w:szCs w:val="20"/>
          <w:lang w:val="en-US"/>
        </w:rPr>
        <w:t>University ,</w:t>
      </w:r>
      <w:proofErr w:type="gramEnd"/>
      <w:r w:rsidR="004D3334">
        <w:rPr>
          <w:rFonts w:cs="SourceSansPro-Regular"/>
          <w:color w:val="333333"/>
          <w:sz w:val="20"/>
          <w:szCs w:val="20"/>
          <w:lang w:val="en-US"/>
        </w:rPr>
        <w:t xml:space="preserve"> </w:t>
      </w:r>
      <w:r w:rsidR="004D3334">
        <w:rPr>
          <w:rFonts w:ascii="SourceSansPro-Regular" w:hAnsi="SourceSansPro-Regular" w:cs="SourceSansPro-Regular"/>
          <w:color w:val="55B2F6"/>
          <w:sz w:val="20"/>
          <w:szCs w:val="20"/>
        </w:rPr>
        <w:t>Anna Marie Balling Høstgaard</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Pernille Bertelsen</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Christian Nøhr</w:t>
      </w:r>
    </w:p>
    <w:p w:rsidR="00DB632B" w:rsidRPr="00FA5EA2" w:rsidRDefault="00FA5EA2" w:rsidP="00C60A91">
      <w:pPr>
        <w:rPr>
          <w:lang w:val="en-US"/>
        </w:rPr>
      </w:pPr>
      <w:r>
        <w:rPr>
          <w:lang w:val="en-US"/>
        </w:rPr>
        <w:t xml:space="preserve">[5] </w:t>
      </w:r>
      <w:r>
        <w:rPr>
          <w:rFonts w:ascii="Arial" w:hAnsi="Arial" w:cs="Arial"/>
          <w:color w:val="000000"/>
          <w:sz w:val="19"/>
          <w:szCs w:val="19"/>
          <w:shd w:val="clear" w:color="auto" w:fill="FFFFFF"/>
        </w:rPr>
        <w:t>Boruff JT, Storie D. Mobile devices in medicine: a survey of how medical students, residents, and faculty use smartphones and other mobile devices to find information. J Med Libr Assoc. 2014;102:22-30.</w:t>
      </w:r>
    </w:p>
    <w:p w:rsidR="00FE505E" w:rsidRDefault="008A49A7" w:rsidP="00C60A91">
      <w:pPr>
        <w:rPr>
          <w:rFonts w:ascii="Arial" w:hAnsi="Arial" w:cs="Arial"/>
          <w:color w:val="000000"/>
          <w:sz w:val="19"/>
          <w:szCs w:val="19"/>
          <w:shd w:val="clear" w:color="auto" w:fill="FFFFFF"/>
        </w:rPr>
      </w:pPr>
      <w:r>
        <w:rPr>
          <w:lang w:val="en-US"/>
        </w:rPr>
        <w:t xml:space="preserve">[6] </w:t>
      </w:r>
      <w:r>
        <w:rPr>
          <w:rFonts w:ascii="Arial" w:hAnsi="Arial" w:cs="Arial"/>
          <w:color w:val="000000"/>
          <w:sz w:val="19"/>
          <w:szCs w:val="19"/>
          <w:shd w:val="clear" w:color="auto" w:fill="FFFFFF"/>
        </w:rPr>
        <w:t>Reitzin J. Infographic: doctors prescribing more health apps. mHealthWatch. May 2, 2013.</w:t>
      </w:r>
      <w:r>
        <w:rPr>
          <w:rStyle w:val="apple-converted-space"/>
          <w:rFonts w:ascii="Arial" w:hAnsi="Arial" w:cs="Arial"/>
          <w:color w:val="000000"/>
          <w:sz w:val="19"/>
          <w:szCs w:val="19"/>
          <w:shd w:val="clear" w:color="auto" w:fill="FFFFFF"/>
        </w:rPr>
        <w:t> </w:t>
      </w:r>
      <w:r w:rsidR="007E7494">
        <w:fldChar w:fldCharType="begin"/>
      </w:r>
      <w:r w:rsidR="007E7494">
        <w:instrText xml:space="preserve"> HYPERLINK "http://mhealthwatch.com/infographic-doctors-prescribing-more-mobile-health-apps-20185/" </w:instrText>
      </w:r>
      <w:r w:rsidR="007E7494">
        <w:fldChar w:fldCharType="separate"/>
      </w:r>
      <w:r>
        <w:rPr>
          <w:rStyle w:val="Hyperlink"/>
          <w:rFonts w:ascii="Arial" w:hAnsi="Arial" w:cs="Arial"/>
          <w:color w:val="5757A6"/>
          <w:sz w:val="19"/>
          <w:szCs w:val="19"/>
          <w:shd w:val="clear" w:color="auto" w:fill="FFFFFF"/>
        </w:rPr>
        <w:t>http://mhealthwatch.com/infographic-doctors-prescribing-more-mobile-health-apps-20185/</w:t>
      </w:r>
      <w:r w:rsidR="007E7494">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r w:rsidR="007E7494">
        <w:fldChar w:fldCharType="begin"/>
      </w:r>
      <w:r w:rsidR="007E7494">
        <w:instrText xml:space="preserve"> HYPERLINK "http://www.medscape.com/viewarticle/</w:instrText>
      </w:r>
      <w:r w:rsidR="007E7494">
        <w:instrText xml:space="preserve">803503" </w:instrText>
      </w:r>
      <w:r w:rsidR="007E7494">
        <w:fldChar w:fldCharType="separate"/>
      </w:r>
      <w:r>
        <w:rPr>
          <w:rStyle w:val="Hyperlink"/>
          <w:rFonts w:ascii="Arial" w:hAnsi="Arial" w:cs="Arial"/>
          <w:color w:val="5757A6"/>
          <w:sz w:val="19"/>
          <w:szCs w:val="19"/>
          <w:shd w:val="clear" w:color="auto" w:fill="FFFFFF"/>
        </w:rPr>
        <w:t>http://www.medscape.com/viewarticle/803503</w:t>
      </w:r>
      <w:r w:rsidR="007E7494">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r w:rsidR="007E7494">
        <w:fldChar w:fldCharType="begin"/>
      </w:r>
      <w:r w:rsidR="007E7494">
        <w:instrText xml:space="preserve"> HYPERLINK "http://www.prnewswire.com/news-releases/stethoscopes-and-smartphones-physicians-turn-to-digital-tools-to-boost-patient-outcomes-261089461.html" </w:instrText>
      </w:r>
      <w:r w:rsidR="007E7494">
        <w:fldChar w:fldCharType="separate"/>
      </w:r>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r w:rsidR="007E7494">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lastRenderedPageBreak/>
        <w:t>[9]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w:t>
      </w:r>
      <w:proofErr w:type="gramStart"/>
      <w:r>
        <w:t>;74</w:t>
      </w:r>
      <w:proofErr w:type="gramEnd"/>
      <w:r>
        <w:t>(4):414-419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3" w:anchor="tab_04_2" w:history="1">
        <w:r>
          <w:rPr>
            <w:rStyle w:val="Hyperlink"/>
            <w:rFonts w:ascii="Arial" w:hAnsi="Arial" w:cs="Arial"/>
            <w:color w:val="207CC1"/>
            <w:sz w:val="18"/>
            <w:szCs w:val="18"/>
          </w:rPr>
          <w:t>Travis Lowdermilk</w:t>
        </w:r>
      </w:hyperlink>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Publisher: O'Reilly Media</w:t>
      </w:r>
    </w:p>
    <w:p w:rsidR="003D4DF5" w:rsidRPr="001B441F" w:rsidRDefault="003D4DF5" w:rsidP="00C60A91">
      <w:pPr>
        <w:rPr>
          <w:rFonts w:ascii="Arial" w:hAnsi="Arial" w:cs="Arial"/>
          <w:color w:val="000000"/>
          <w:sz w:val="19"/>
          <w:szCs w:val="19"/>
          <w:shd w:val="clear" w:color="auto" w:fill="FFFFFF"/>
          <w:lang w:val="en-US"/>
        </w:rPr>
      </w:pPr>
    </w:p>
    <w:p w:rsidR="00253E78" w:rsidRPr="00C51939" w:rsidRDefault="00DB632B" w:rsidP="00253E78">
      <w:pPr>
        <w:rPr>
          <w:lang w:val="en-US"/>
        </w:rPr>
      </w:pPr>
      <w:r>
        <w:t xml:space="preserve"> </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SansPro-Semibold">
    <w:altName w:val="Times New Roman"/>
    <w:panose1 w:val="00000000000000000000"/>
    <w:charset w:val="CC"/>
    <w:family w:val="auto"/>
    <w:notTrueType/>
    <w:pitch w:val="default"/>
    <w:sig w:usb0="00000201" w:usb1="00000000" w:usb2="00000000" w:usb3="00000000" w:csb0="00000004" w:csb1="00000000"/>
  </w:font>
  <w:font w:name="SourceSansPro-It">
    <w:altName w:val="Times New Roman"/>
    <w:panose1 w:val="00000000000000000000"/>
    <w:charset w:val="CC"/>
    <w:family w:val="auto"/>
    <w:notTrueType/>
    <w:pitch w:val="default"/>
    <w:sig w:usb0="00000201" w:usb1="00000000" w:usb2="00000000" w:usb3="00000000" w:csb0="00000004" w:csb1="00000000"/>
  </w:font>
  <w:font w:name="SourceSansPro-Regular">
    <w:altName w:val="Times New Roman"/>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6"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1"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7"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7"/>
  </w:num>
  <w:num w:numId="4">
    <w:abstractNumId w:val="16"/>
  </w:num>
  <w:num w:numId="5">
    <w:abstractNumId w:val="6"/>
  </w:num>
  <w:num w:numId="6">
    <w:abstractNumId w:val="8"/>
  </w:num>
  <w:num w:numId="7">
    <w:abstractNumId w:val="9"/>
  </w:num>
  <w:num w:numId="8">
    <w:abstractNumId w:val="15"/>
  </w:num>
  <w:num w:numId="9">
    <w:abstractNumId w:val="14"/>
  </w:num>
  <w:num w:numId="10">
    <w:abstractNumId w:val="10"/>
  </w:num>
  <w:num w:numId="11">
    <w:abstractNumId w:val="0"/>
  </w:num>
  <w:num w:numId="12">
    <w:abstractNumId w:val="12"/>
  </w:num>
  <w:num w:numId="13">
    <w:abstractNumId w:val="5"/>
  </w:num>
  <w:num w:numId="14">
    <w:abstractNumId w:val="3"/>
  </w:num>
  <w:num w:numId="15">
    <w:abstractNumId w:val="2"/>
  </w:num>
  <w:num w:numId="16">
    <w:abstractNumId w:val="1"/>
  </w:num>
  <w:num w:numId="17">
    <w:abstractNumId w:val="11"/>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21743"/>
    <w:rsid w:val="0004369F"/>
    <w:rsid w:val="000878A5"/>
    <w:rsid w:val="000959AF"/>
    <w:rsid w:val="00096B1C"/>
    <w:rsid w:val="000E3ED5"/>
    <w:rsid w:val="001374DC"/>
    <w:rsid w:val="00177EAF"/>
    <w:rsid w:val="00186C48"/>
    <w:rsid w:val="00190633"/>
    <w:rsid w:val="00195544"/>
    <w:rsid w:val="001A0DD4"/>
    <w:rsid w:val="001B15BA"/>
    <w:rsid w:val="001B441F"/>
    <w:rsid w:val="001D1DE2"/>
    <w:rsid w:val="001F39A1"/>
    <w:rsid w:val="001F4A01"/>
    <w:rsid w:val="001F7E15"/>
    <w:rsid w:val="0021286A"/>
    <w:rsid w:val="0024519D"/>
    <w:rsid w:val="00253E78"/>
    <w:rsid w:val="002552EE"/>
    <w:rsid w:val="0026308D"/>
    <w:rsid w:val="002707BE"/>
    <w:rsid w:val="002959D0"/>
    <w:rsid w:val="002C2873"/>
    <w:rsid w:val="002C5A76"/>
    <w:rsid w:val="002D7355"/>
    <w:rsid w:val="002E0E51"/>
    <w:rsid w:val="002E18DE"/>
    <w:rsid w:val="002E7B7B"/>
    <w:rsid w:val="003078AE"/>
    <w:rsid w:val="003079BA"/>
    <w:rsid w:val="00343BA1"/>
    <w:rsid w:val="00380D7E"/>
    <w:rsid w:val="00382FC0"/>
    <w:rsid w:val="00397AC5"/>
    <w:rsid w:val="003A05B1"/>
    <w:rsid w:val="003B0E9E"/>
    <w:rsid w:val="003D4DF5"/>
    <w:rsid w:val="003F10A4"/>
    <w:rsid w:val="003F630E"/>
    <w:rsid w:val="00412DF0"/>
    <w:rsid w:val="00433096"/>
    <w:rsid w:val="00457FB7"/>
    <w:rsid w:val="00460759"/>
    <w:rsid w:val="00484DF3"/>
    <w:rsid w:val="004D3334"/>
    <w:rsid w:val="004E7D2B"/>
    <w:rsid w:val="004F7815"/>
    <w:rsid w:val="00545127"/>
    <w:rsid w:val="00572A03"/>
    <w:rsid w:val="00577A1D"/>
    <w:rsid w:val="005919B7"/>
    <w:rsid w:val="005A1B9C"/>
    <w:rsid w:val="005B1856"/>
    <w:rsid w:val="005B4576"/>
    <w:rsid w:val="005F14F8"/>
    <w:rsid w:val="00610F41"/>
    <w:rsid w:val="006117AE"/>
    <w:rsid w:val="0063490F"/>
    <w:rsid w:val="00652674"/>
    <w:rsid w:val="00660102"/>
    <w:rsid w:val="0066188D"/>
    <w:rsid w:val="006666A9"/>
    <w:rsid w:val="00676C9E"/>
    <w:rsid w:val="00676E4E"/>
    <w:rsid w:val="00697437"/>
    <w:rsid w:val="006A5695"/>
    <w:rsid w:val="006B62AC"/>
    <w:rsid w:val="006D682B"/>
    <w:rsid w:val="00740511"/>
    <w:rsid w:val="007A2393"/>
    <w:rsid w:val="007B3210"/>
    <w:rsid w:val="007C532E"/>
    <w:rsid w:val="007D697D"/>
    <w:rsid w:val="007E7494"/>
    <w:rsid w:val="0081628C"/>
    <w:rsid w:val="00820B2B"/>
    <w:rsid w:val="00842A1D"/>
    <w:rsid w:val="008A0EFD"/>
    <w:rsid w:val="008A3C17"/>
    <w:rsid w:val="008A3C50"/>
    <w:rsid w:val="008A46F2"/>
    <w:rsid w:val="008A49A7"/>
    <w:rsid w:val="008B7DEC"/>
    <w:rsid w:val="008E4AAA"/>
    <w:rsid w:val="0093047C"/>
    <w:rsid w:val="0094262C"/>
    <w:rsid w:val="0094592F"/>
    <w:rsid w:val="009527F0"/>
    <w:rsid w:val="009539E8"/>
    <w:rsid w:val="009B5596"/>
    <w:rsid w:val="009B5EEA"/>
    <w:rsid w:val="00A16588"/>
    <w:rsid w:val="00A215A3"/>
    <w:rsid w:val="00A21895"/>
    <w:rsid w:val="00A24B34"/>
    <w:rsid w:val="00A32A45"/>
    <w:rsid w:val="00A57F7D"/>
    <w:rsid w:val="00A745ED"/>
    <w:rsid w:val="00A7552A"/>
    <w:rsid w:val="00A97D49"/>
    <w:rsid w:val="00A97D4B"/>
    <w:rsid w:val="00AA4919"/>
    <w:rsid w:val="00AB3312"/>
    <w:rsid w:val="00AE4BA2"/>
    <w:rsid w:val="00AF4780"/>
    <w:rsid w:val="00AF5856"/>
    <w:rsid w:val="00B258C3"/>
    <w:rsid w:val="00B302E1"/>
    <w:rsid w:val="00B4785C"/>
    <w:rsid w:val="00B51B55"/>
    <w:rsid w:val="00B56703"/>
    <w:rsid w:val="00B727BF"/>
    <w:rsid w:val="00B72A27"/>
    <w:rsid w:val="00B80714"/>
    <w:rsid w:val="00B85FF0"/>
    <w:rsid w:val="00B86E7E"/>
    <w:rsid w:val="00BA0304"/>
    <w:rsid w:val="00BA1F66"/>
    <w:rsid w:val="00BD3FF8"/>
    <w:rsid w:val="00BD5725"/>
    <w:rsid w:val="00C07CBA"/>
    <w:rsid w:val="00C14D20"/>
    <w:rsid w:val="00C17048"/>
    <w:rsid w:val="00C31004"/>
    <w:rsid w:val="00C52F80"/>
    <w:rsid w:val="00C54BC9"/>
    <w:rsid w:val="00C57302"/>
    <w:rsid w:val="00C60A91"/>
    <w:rsid w:val="00C674BF"/>
    <w:rsid w:val="00C8244B"/>
    <w:rsid w:val="00C8463B"/>
    <w:rsid w:val="00CD4192"/>
    <w:rsid w:val="00CF0886"/>
    <w:rsid w:val="00CF4CD7"/>
    <w:rsid w:val="00D162DE"/>
    <w:rsid w:val="00D77B39"/>
    <w:rsid w:val="00D837F3"/>
    <w:rsid w:val="00DA0707"/>
    <w:rsid w:val="00DB3BA4"/>
    <w:rsid w:val="00DB632B"/>
    <w:rsid w:val="00DD6888"/>
    <w:rsid w:val="00DE2B2E"/>
    <w:rsid w:val="00DF01F5"/>
    <w:rsid w:val="00E02C94"/>
    <w:rsid w:val="00E05630"/>
    <w:rsid w:val="00E11CF2"/>
    <w:rsid w:val="00E22563"/>
    <w:rsid w:val="00E3274A"/>
    <w:rsid w:val="00E465AD"/>
    <w:rsid w:val="00E47416"/>
    <w:rsid w:val="00E70FC9"/>
    <w:rsid w:val="00E73CD4"/>
    <w:rsid w:val="00E83410"/>
    <w:rsid w:val="00EC0C60"/>
    <w:rsid w:val="00EE2C02"/>
    <w:rsid w:val="00EE447F"/>
    <w:rsid w:val="00EF1098"/>
    <w:rsid w:val="00EF5819"/>
    <w:rsid w:val="00F14150"/>
    <w:rsid w:val="00F92284"/>
    <w:rsid w:val="00FA5DC7"/>
    <w:rsid w:val="00FA5EA2"/>
    <w:rsid w:val="00FC70B7"/>
    <w:rsid w:val="00FD23EE"/>
    <w:rsid w:val="00FE505E"/>
    <w:rsid w:val="00FF29E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0AE8"/>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9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FF29E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 w:val="22"/>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op.oreilly.com/product/0636920028741.d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E00F8-73B9-4E17-BCDA-BDA20BD2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8</cp:revision>
  <dcterms:created xsi:type="dcterms:W3CDTF">2017-05-13T14:25:00Z</dcterms:created>
  <dcterms:modified xsi:type="dcterms:W3CDTF">2017-05-13T19:46:00Z</dcterms:modified>
</cp:coreProperties>
</file>