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D49" w:rsidRDefault="00A97D49" w:rsidP="00A97D49">
      <w:pPr>
        <w:pStyle w:val="Heading1"/>
        <w:numPr>
          <w:ilvl w:val="0"/>
          <w:numId w:val="5"/>
        </w:numPr>
      </w:pPr>
      <w:r>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lastRenderedPageBreak/>
        <w:t>Важен чекор во транзицијата е да здравствените институции 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(КОЛ).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740511" w:rsidRDefault="00740511" w:rsidP="00B85FF0">
      <w:pPr>
        <w:ind w:firstLine="720"/>
        <w:jc w:val="both"/>
      </w:pPr>
      <w:r>
        <w:t>Предизвиците кои произлегуваат од контекстот се доста сложени. Специфичноста на целната група, домејнот на работа, комплексноста на работните дејствиа на лекарите и нецентрализираните податоци само ја отежнуваат мојата работа.</w:t>
      </w:r>
    </w:p>
    <w:p w:rsidR="005B4576" w:rsidRPr="005B4576" w:rsidRDefault="005B4576" w:rsidP="005B4576">
      <w:pPr>
        <w:ind w:firstLine="720"/>
        <w:jc w:val="both"/>
        <w:rPr>
          <w:lang w:val="en-US"/>
        </w:rPr>
      </w:pPr>
      <w:r>
        <w:t>Голем предизвик со кој се соочуваат пациентите болни е КОЛ е недостатокот од нивнити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 xml:space="preserve">Повеќето апликации и информативни сајтови достапни за овие пациенти не ги содржат комплетните потребни информации. </w:t>
      </w:r>
      <w:r>
        <w:rPr>
          <w:lang w:val="en-US"/>
        </w:rPr>
        <w:t xml:space="preserve"> </w:t>
      </w:r>
    </w:p>
    <w:p w:rsidR="00EE447F" w:rsidRPr="00457FB7" w:rsidRDefault="00740511" w:rsidP="00740511">
      <w:pPr>
        <w:ind w:firstLine="720"/>
        <w:jc w:val="both"/>
        <w:rPr>
          <w:lang w:val="en-US"/>
        </w:rPr>
      </w:pPr>
      <w:r>
        <w:t xml:space="preserve">Од витално значење е да се разберат предизвиците со кои се соочуваат идните корисници на апликацијата, т.е. лекарите и пациентите болни од КОЛ. </w:t>
      </w:r>
      <w:r w:rsidR="00EE447F">
        <w:t>Поради тоа што во веќе постоечките апликации кои се користат во здравствениот систем</w:t>
      </w:r>
      <w:r>
        <w:t>,</w:t>
      </w:r>
      <w:r w:rsidR="00EE447F">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t xml:space="preserve"> Од тука произлегува главниот предизвик, да во развивањето на апликацијата активно учество земат токму тие. Главната </w:t>
      </w:r>
      <w:r w:rsidR="00EE447F">
        <w:t>улога тука ќе ја имаат лекарите</w:t>
      </w:r>
      <w:r w:rsidR="00457FB7">
        <w:t xml:space="preserve"> и пациентите</w:t>
      </w:r>
      <w:r w:rsidR="00EE447F">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тие ќе допринесат да има помала одбивност, зголемена мотивација и поголема заинтересираност за дадениот проект или апликација</w:t>
      </w:r>
      <w:r w:rsidR="00CD4192">
        <w:rPr>
          <w:lang w:val="en-US"/>
        </w:rPr>
        <w:t xml:space="preserve"> [4]</w:t>
      </w:r>
      <w:r>
        <w:t>.</w:t>
      </w:r>
    </w:p>
    <w:p w:rsidR="00FA5EA2" w:rsidRPr="008A49A7" w:rsidRDefault="00FA5EA2" w:rsidP="00B85FF0">
      <w:pPr>
        <w:ind w:firstLine="720"/>
        <w:jc w:val="both"/>
      </w:pPr>
      <w:r>
        <w:lastRenderedPageBreak/>
        <w:t xml:space="preserve">Анкетите покажуваат дека 90% од лекарите користат паметни телефони или таблети во нивните дневни професионални активности </w:t>
      </w:r>
      <w:r>
        <w:rPr>
          <w:lang w:val="en-US"/>
        </w:rPr>
        <w:t xml:space="preserve">[5]. </w:t>
      </w:r>
      <w:r>
        <w:t xml:space="preserve">Повеќето од нив веруваат дека медицинските интернет апликациите ги подобруваат резултатите од лекувањето на пациентите. </w:t>
      </w:r>
      <w:r w:rsidR="008A49A7">
        <w:t xml:space="preserve">Во се повеќе случаеви, лекарите се одлучуваат да и сугерираат на пациентите да користат одредена апликација </w:t>
      </w:r>
      <w:r w:rsidR="008A49A7">
        <w:rPr>
          <w:lang w:val="en-US"/>
        </w:rPr>
        <w:t>[6].</w:t>
      </w:r>
    </w:p>
    <w:p w:rsidR="00FA5EA2" w:rsidRDefault="00FA5EA2" w:rsidP="00B85FF0">
      <w:pPr>
        <w:ind w:firstLine="720"/>
        <w:jc w:val="both"/>
      </w:pPr>
      <w:r>
        <w:t xml:space="preserve">Кога се развива апликација наменета за специфична болест задолжително е да медицински експерти специјализирани во дадената болест бидат дел од проектот и често консултирани за време на процесот на развивање. </w:t>
      </w:r>
      <w:r w:rsidR="00460759">
        <w:t xml:space="preserve">Зато потребно е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Pr="0021286A" w:rsidRDefault="00652674" w:rsidP="00B85FF0">
      <w:pPr>
        <w:ind w:firstLine="720"/>
        <w:jc w:val="both"/>
        <w:rPr>
          <w:lang w:val="en-US"/>
        </w:rPr>
      </w:pPr>
      <w:r>
        <w:t>Дизајнот на апликацијата треба да ги земе во обзир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460759" w:rsidRDefault="008E4AAA" w:rsidP="00B85FF0">
      <w:pPr>
        <w:ind w:firstLine="720"/>
        <w:jc w:val="both"/>
      </w:pPr>
      <w:r>
        <w:t xml:space="preserve">Предизвиците од технички аспек се апликацијата да биде </w:t>
      </w:r>
      <w:r w:rsidRPr="008E4AAA">
        <w:t>повеќе-платформска</w:t>
      </w:r>
      <w:r>
        <w:t>,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w:t>
      </w:r>
      <w:r w:rsidR="00A16588">
        <w:t>а</w:t>
      </w:r>
      <w:r>
        <w:t xml:space="preserve"> со дополнителни функционалности. </w:t>
      </w:r>
    </w:p>
    <w:p w:rsidR="008E4AAA" w:rsidRPr="00380D7E" w:rsidRDefault="008E4AAA" w:rsidP="00B85FF0">
      <w:pPr>
        <w:ind w:firstLine="720"/>
        <w:jc w:val="both"/>
        <w:rPr>
          <w:lang w:val="en-US"/>
        </w:rPr>
      </w:pPr>
    </w:p>
    <w:p w:rsidR="00C8244B" w:rsidRDefault="00C8244B" w:rsidP="00C8244B">
      <w:pPr>
        <w:pStyle w:val="Heading2"/>
        <w:numPr>
          <w:ilvl w:val="1"/>
          <w:numId w:val="5"/>
        </w:numPr>
      </w:pPr>
      <w:r>
        <w:t>Придонес на магистерскиот труд</w:t>
      </w:r>
    </w:p>
    <w:p w:rsidR="00D77B39" w:rsidRDefault="001F4A01" w:rsidP="001F4A01">
      <w:pPr>
        <w:ind w:firstLine="720"/>
        <w:jc w:val="both"/>
      </w:pPr>
      <w:r>
        <w:t>Овој магистерски труд треба да придонесе во тоа да пациентите болни од КОЛ во Данска да имаат лесен пристап кон сите информации поврзани со нивната болест. Исто така, ова ќе претставува еден чекор поблиску кон персонализирано здравство</w:t>
      </w:r>
      <w:r>
        <w:rPr>
          <w:lang w:val="en-US"/>
        </w:rPr>
        <w:t xml:space="preserve">, </w:t>
      </w:r>
      <w:r>
        <w:t xml:space="preserve">каде што секој пациент, во зависност од нивната генетска предиспозиција, стадиум на болеста и нивниот напредок ќе има соодветни информации и совети. </w:t>
      </w:r>
    </w:p>
    <w:p w:rsidR="00D77B39" w:rsidRPr="00D77B39" w:rsidRDefault="001F4A01" w:rsidP="00D77B39">
      <w:pPr>
        <w:ind w:firstLine="720"/>
        <w:jc w:val="both"/>
      </w:pPr>
      <w:r>
        <w:t>Оваа апликација ќе се обиде да им ја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ќе има пристап до неговите прегледи, метрики и до нивниот напредок, односно до нивната моментална состојба. </w:t>
      </w:r>
    </w:p>
    <w:p w:rsidR="00D77B39" w:rsidRPr="002C2873" w:rsidRDefault="00E05630" w:rsidP="00572A03">
      <w:pPr>
        <w:ind w:firstLine="720"/>
        <w:jc w:val="both"/>
      </w:pPr>
      <w:r>
        <w:t>Придонес ќе имаат и самите лекари. Нивниот распоред ќе се ослободи,</w:t>
      </w:r>
      <w:r>
        <w:rPr>
          <w:lang w:val="en-US"/>
        </w:rPr>
        <w:t xml:space="preserve"> </w:t>
      </w:r>
      <w:r>
        <w:t xml:space="preserve">информациите кои тие ќе треба да ги споделуваат со нивните пациенти ќе го прават тоа </w:t>
      </w:r>
      <w:r>
        <w:lastRenderedPageBreak/>
        <w:t>на едно централизирано место.</w:t>
      </w:r>
      <w:r>
        <w:rPr>
          <w:lang w:val="en-US"/>
        </w:rPr>
        <w:t xml:space="preserve"> </w:t>
      </w:r>
      <w:r>
        <w:t xml:space="preserve">Голем дел од грижата за пацентите ќе ја превземат </w:t>
      </w:r>
      <w:r w:rsidR="001374DC">
        <w:t>самите</w:t>
      </w:r>
      <w:r>
        <w:t xml:space="preserve"> тие, каде што лекарите ќе ја имаат улогата на еден вид на ментор. </w:t>
      </w:r>
    </w:p>
    <w:p w:rsidR="00740511" w:rsidRDefault="00740511" w:rsidP="001F4A01">
      <w:pPr>
        <w:pStyle w:val="ListParagraph"/>
        <w:ind w:left="0" w:firstLine="720"/>
        <w:jc w:val="both"/>
      </w:pPr>
      <w:r>
        <w:t xml:space="preserve">Главната цел на оваа апликација е пациентите да ја разберат важноста на информацијата со која тие ќе ги разберат феномените кои влијаат на нивното здравје. </w:t>
      </w:r>
      <w:r w:rsidR="00D77B39">
        <w:t>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w:t>
      </w:r>
      <w:r w:rsidR="00572A03">
        <w:t xml:space="preserve"> </w:t>
      </w:r>
      <w:r w:rsidR="00572A03">
        <w:rPr>
          <w:lang w:val="en-US"/>
        </w:rPr>
        <w:t>[7]</w:t>
      </w:r>
      <w:r w:rsidR="00572A03">
        <w:t>.</w:t>
      </w:r>
    </w:p>
    <w:p w:rsidR="003D4DF5" w:rsidRDefault="003D4DF5" w:rsidP="001F4A01">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домејн, главно поради горенаведените придонеси на ваквите апликации </w:t>
      </w:r>
      <w:r>
        <w:rPr>
          <w:lang w:val="en-US"/>
        </w:rPr>
        <w:t>[8]</w:t>
      </w:r>
      <w:r>
        <w:t>.</w:t>
      </w:r>
    </w:p>
    <w:p w:rsidR="0081628C" w:rsidRDefault="0081628C" w:rsidP="0081628C"/>
    <w:p w:rsidR="0081628C" w:rsidRDefault="0081628C" w:rsidP="0081628C">
      <w:pPr>
        <w:pStyle w:val="Heading1"/>
        <w:numPr>
          <w:ilvl w:val="0"/>
          <w:numId w:val="5"/>
        </w:numPr>
      </w:pPr>
      <w:r>
        <w:t>Трудови поврзани со ова</w:t>
      </w:r>
    </w:p>
    <w:p w:rsidR="004F7815" w:rsidRDefault="00577A1D" w:rsidP="004F7815">
      <w:pPr>
        <w:pStyle w:val="Heading2"/>
        <w:numPr>
          <w:ilvl w:val="1"/>
          <w:numId w:val="5"/>
        </w:numPr>
      </w:pPr>
      <w:r>
        <w:t>Трудови во врска со дигитални досиеа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 во менаџирањето на </w:t>
      </w:r>
      <w:r w:rsidR="00AF5856">
        <w:t>документите и досиеата на пациентите се дефицитарни</w:t>
      </w:r>
      <w:r w:rsidR="00AF5856">
        <w:rPr>
          <w:lang w:val="en-US"/>
        </w:rPr>
        <w:t xml:space="preserve"> [</w:t>
      </w:r>
      <w:r w:rsidR="00820B2B">
        <w:t>9</w:t>
      </w:r>
      <w:r w:rsidR="00AF5856">
        <w:rPr>
          <w:lang w:val="en-US"/>
        </w:rPr>
        <w:t xml:space="preserve">]. </w:t>
      </w:r>
      <w:r w:rsidR="00AF5856">
        <w:t xml:space="preserve">Во многу индустрии автоматизирањето на податоците е имплементирано на високо ниво, но здраствената индустрија заостанува на ова поле. Транзицијата од хартиени документи во дигитални досиеа на пациентите се одвива бавно </w:t>
      </w:r>
      <w:r w:rsidR="00AF5856">
        <w:rPr>
          <w:lang w:val="en-US"/>
        </w:rPr>
        <w:t>[</w:t>
      </w:r>
      <w:r w:rsidR="00820B2B">
        <w:t>10</w:t>
      </w:r>
      <w:r w:rsidR="00AF5856">
        <w:rPr>
          <w:lang w:val="en-US"/>
        </w:rPr>
        <w:t>].</w:t>
      </w:r>
    </w:p>
    <w:p w:rsidR="002552EE" w:rsidRPr="002552EE" w:rsidRDefault="002552EE" w:rsidP="00E47416">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rsidR="00E47416">
        <w:rPr>
          <w:lang w:val="en-US"/>
        </w:rPr>
        <w:t>s</w:t>
      </w:r>
      <w:r>
        <w:t xml:space="preserve"> од традиционалните хартиени документи. Бидејќи </w:t>
      </w:r>
      <w:r>
        <w:lastRenderedPageBreak/>
        <w:t>медицината е многу голема и опширна 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Во еден мал дел од ова дигитализирање, придонес ќе даде и апликацијата која ќе произлезе од овој магистерски труд, односо придонес во делот на здравстовото каде што се наоѓаат болните од КОЛ.</w:t>
      </w:r>
    </w:p>
    <w:p w:rsidR="00AF5856" w:rsidRDefault="00F14150" w:rsidP="008A3C17">
      <w:pPr>
        <w:pStyle w:val="Heading2"/>
        <w:numPr>
          <w:ilvl w:val="1"/>
          <w:numId w:val="5"/>
        </w:numPr>
      </w:pPr>
      <w:r>
        <w:rPr>
          <w:lang w:val="en-US"/>
        </w:rPr>
        <w:t>Case study for Denmark</w:t>
      </w:r>
    </w:p>
    <w:p w:rsidR="007D697D" w:rsidRDefault="00F14150" w:rsidP="007D697D">
      <w:pPr>
        <w:jc w:val="both"/>
      </w:pPr>
      <w:r>
        <w:tab/>
      </w:r>
      <w:r w:rsidR="007D697D">
        <w:t xml:space="preserve">Искуството досега во Данска покажало дека имплементацијата на дигитални решенија често носи со себе нови проблеми, најчесто во делот на организацијата. </w:t>
      </w:r>
      <w:r w:rsidR="002552EE">
        <w:t xml:space="preserve"> </w:t>
      </w:r>
      <w:r w:rsidR="007D697D">
        <w:t xml:space="preserve">Исто така, за едно решение да биде успешно, медицинските работници мора да добијат позитивни клинички бенефити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во предвид на сите инволвирани групи, давања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 бидејќи нивното прифаќање е клучно за тоа дали некое решение ќе биде ставено во употреба на начин на кој е наменето. </w:t>
      </w:r>
    </w:p>
    <w:p w:rsidR="00F14150" w:rsidRDefault="007D697D" w:rsidP="007D697D">
      <w:pPr>
        <w:jc w:val="both"/>
        <w:rPr>
          <w:lang w:val="en-US"/>
        </w:rPr>
      </w:pPr>
      <w:r>
        <w:tab/>
        <w:t xml:space="preserve">  </w:t>
      </w:r>
      <w:r w:rsidR="00610F41">
        <w:t>Во анализата с</w:t>
      </w:r>
      <w:r w:rsidR="00190633">
        <w:t xml:space="preserve">проведена од Универзитетот на Алборг </w:t>
      </w:r>
      <w:r w:rsidR="00190633">
        <w:rPr>
          <w:lang w:val="en-US"/>
        </w:rPr>
        <w:t>[11]</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или добро вклучено во процесот при што резултира кон тоа да се јавува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 во голем дел не биле имплементирани. Лекарите ја немале потребната моќ да носат значајни одлуки во процесот на развивање на дигиталните решенија, немале организациона подршка или потребно знаење за да постигнат вистинско влијание во процесот за да бидат вклучени интересите на медицинските работници.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A1F66" w:rsidRPr="00B86E7E"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 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Pr>
          <w:lang w:val="en-US"/>
        </w:rPr>
        <w:t xml:space="preserve"> </w:t>
      </w:r>
    </w:p>
    <w:p w:rsidR="001B15BA" w:rsidRDefault="001B15BA" w:rsidP="001B441F">
      <w:pPr>
        <w:rPr>
          <w:lang w:val="en-US"/>
        </w:rPr>
      </w:pPr>
    </w:p>
    <w:p w:rsidR="001B441F" w:rsidRDefault="001B441F" w:rsidP="002D7354">
      <w:pPr>
        <w:pStyle w:val="Heading2"/>
        <w:numPr>
          <w:ilvl w:val="1"/>
          <w:numId w:val="5"/>
        </w:numPr>
        <w:rPr>
          <w:lang w:val="en-US"/>
        </w:rPr>
      </w:pPr>
      <w:r>
        <w:lastRenderedPageBreak/>
        <w:t>Кориснички ориентиран дизајн</w:t>
      </w:r>
      <w:r>
        <w:rPr>
          <w:lang w:val="en-US"/>
        </w:rPr>
        <w:t xml:space="preserve"> </w:t>
      </w:r>
      <w:r w:rsidR="002D7354">
        <w:rPr>
          <w:lang w:val="en-US"/>
        </w:rPr>
        <w:t xml:space="preserve">- </w:t>
      </w:r>
      <w:r w:rsidR="002D7354" w:rsidRPr="002D7354">
        <w:rPr>
          <w:lang w:val="en-US"/>
        </w:rPr>
        <w:t>User-Centered Design and Interactive Health Technologies for Patients</w:t>
      </w:r>
    </w:p>
    <w:p w:rsidR="002D7354" w:rsidRDefault="002D7354" w:rsidP="002D7354">
      <w:pPr>
        <w:ind w:firstLine="720"/>
        <w:jc w:val="both"/>
      </w:pPr>
      <w:r>
        <w:t>Креирањето на интерактивни здравствени апликации за да се промовира здравјето и да се менаџираат болестите доведе до фундаментални промени во начинот на кој се менаџира здравството, всушност за овие технологии се вели дека го трансформирале здравството</w:t>
      </w:r>
      <w:r w:rsidR="00EF0947">
        <w:t xml:space="preserve"> </w:t>
      </w:r>
      <w:r w:rsidR="00EF0947">
        <w:rPr>
          <w:lang w:val="en-US"/>
        </w:rPr>
        <w:t>[</w:t>
      </w:r>
      <w:r w:rsidR="00EF0947">
        <w:t>13</w:t>
      </w:r>
      <w:r w:rsidR="00EF0947">
        <w:rPr>
          <w:lang w:val="en-US"/>
        </w:rPr>
        <w:t>]</w:t>
      </w:r>
      <w:r>
        <w:t>.</w:t>
      </w:r>
      <w:r w:rsidR="00584ED0">
        <w:rPr>
          <w:lang w:val="en-US"/>
        </w:rPr>
        <w:t xml:space="preserve"> </w:t>
      </w:r>
      <w:r w:rsidR="00584ED0">
        <w:t>Овие апликации се дефинирани како еден вид на алатки преку кои пациентите и здравствените работници комуницираат со компјутеризирани технологии за да пристапат, мониторираат или споделат здравствени информации</w:t>
      </w:r>
      <w:r w:rsidR="00584ED0">
        <w:rPr>
          <w:lang w:val="en-US"/>
        </w:rPr>
        <w:t>.</w:t>
      </w:r>
      <w:r w:rsidR="0047171F">
        <w:t xml:space="preserve"> Овие апликации овозмужуваат активности како што се размена на здраветни информации помеѓу пациентите и здравствените работници, овозможувајќи полесно носење на здравствени одлуки и промоција на активности како самостојна грижа од страна на пациентите</w:t>
      </w:r>
      <w:r w:rsidR="0047171F">
        <w:rPr>
          <w:lang w:val="en-US"/>
        </w:rPr>
        <w:t xml:space="preserve"> </w:t>
      </w:r>
      <w:r w:rsidR="0047171F">
        <w:rPr>
          <w:lang w:val="en-US"/>
        </w:rPr>
        <w:t>[14]</w:t>
      </w:r>
      <w:r w:rsidR="0047171F">
        <w:t>.</w:t>
      </w:r>
      <w:r w:rsidR="00EF0947">
        <w:t xml:space="preserve"> </w:t>
      </w:r>
      <w:r>
        <w:t xml:space="preserve"> </w:t>
      </w:r>
    </w:p>
    <w:p w:rsidR="008D085A" w:rsidRDefault="008D085A" w:rsidP="002D7354">
      <w:pPr>
        <w:ind w:firstLine="720"/>
        <w:jc w:val="both"/>
      </w:pPr>
      <w:r>
        <w:t>Интерактивните здравствени апликации се дизајнирани да го зголемат учеството на пациентите в</w:t>
      </w:r>
      <w:r w:rsidR="00970EC4">
        <w:t xml:space="preserve">о третирањето на нивната болест. Успехот на овие апликации зависи примарно од тоа дали таргетираните корисници (пациенти, лекари) ја гледаат апликацијата како корисна и погодна за користење. </w:t>
      </w:r>
      <w:r w:rsidR="00812A5A">
        <w:t>Употребливоста на апликацијата се мери преку тоа колку е лесна да се користи, колку е ефективна и ефикасна</w:t>
      </w:r>
      <w:r w:rsidR="009C5C96">
        <w:rPr>
          <w:lang w:val="en-US"/>
        </w:rPr>
        <w:t xml:space="preserve"> [15]</w:t>
      </w:r>
      <w:r w:rsidR="00812A5A">
        <w:t xml:space="preserve">. </w:t>
      </w:r>
      <w:r w:rsidR="00970EC4">
        <w:t xml:space="preserve"> </w:t>
      </w:r>
    </w:p>
    <w:p w:rsidR="00897869" w:rsidRDefault="00897869" w:rsidP="00897869">
      <w:pPr>
        <w:ind w:firstLine="720"/>
        <w:jc w:val="both"/>
      </w:pPr>
      <w:r>
        <w:t xml:space="preserve">Кориснички оретираниот дизајн претставува една филозофија која е базирана на потребите и интересите на корисниците, со акцент на креирање на продуктите лесни за користење и лесни за разбирање. Главната цел на корисничко ориентираниот дизајн е да корисничките побарувања се јасно дефинирани, правилно да бидат рефлектирани во системските побарувања и да бидат верифицирани преку тестирање. Стартувајќи од корисничките побарувања па се до финалниот тест, секое побарување треба да биде лесно за наоѓање во системот.   </w:t>
      </w:r>
    </w:p>
    <w:p w:rsidR="00897869" w:rsidRDefault="00897869" w:rsidP="002D7354">
      <w:pPr>
        <w:ind w:firstLine="720"/>
        <w:jc w:val="both"/>
      </w:pPr>
    </w:p>
    <w:p w:rsidR="00C12FFE" w:rsidRPr="00A344CE" w:rsidRDefault="00C12FFE" w:rsidP="00A344CE">
      <w:pPr>
        <w:ind w:firstLine="720"/>
        <w:jc w:val="both"/>
      </w:pPr>
      <w:r>
        <w:t xml:space="preserve">Корисничко ориентираниот дизајн </w:t>
      </w:r>
      <w:r>
        <w:rPr>
          <w:lang w:val="en-US"/>
        </w:rPr>
        <w:t>(UCD)</w:t>
      </w:r>
      <w:r>
        <w:t xml:space="preserve"> претставува еден пристап кој ги инволвира крајните корисници низ развивачкиот процес така што апликацијата ќе биде соодветна на барањата и потребите на корисниците и ќе биде лесна за употреба</w:t>
      </w:r>
      <w:r w:rsidR="001143B9">
        <w:rPr>
          <w:lang w:val="en-US"/>
        </w:rPr>
        <w:t xml:space="preserve">. </w:t>
      </w:r>
      <w:r w:rsidR="001143B9">
        <w:t>Овој пристап им овозможува на крајните корисници да имаат влијание во дизајнот на апликацијата со што ќе се зголеми употребливоста</w:t>
      </w:r>
      <w:r w:rsidR="004947DC">
        <w:rPr>
          <w:lang w:val="en-US"/>
        </w:rPr>
        <w:t xml:space="preserve"> [16]</w:t>
      </w:r>
      <w:r>
        <w:t>.</w:t>
      </w:r>
      <w:r w:rsidR="00F7697D">
        <w:t xml:space="preserve"> Се користат разни методи во процесот на развивање како што се </w:t>
      </w:r>
      <w:r w:rsidR="001C6FAA">
        <w:t xml:space="preserve">интревјуирање на корисниците, анализирање на задачите и побарувањата, развивање и тестирање на прототипови, евалуација на алтернативните дизајни и тестирање на функционалности и интерфејси заедно со крајните корисници на итеративен начин. Инкоропорирањето на </w:t>
      </w:r>
      <w:r w:rsidR="001C6FAA">
        <w:rPr>
          <w:lang w:val="en-US"/>
        </w:rPr>
        <w:t>UCD</w:t>
      </w:r>
      <w:r w:rsidR="001C6FAA">
        <w:t xml:space="preserve"> принципите во процесот на равивање на апликацијата го задржува фокусот на корисничките потреби. Истражувањата покажуваат дека со инволвирање на корисниците во дизајнот и развивањето на нов систем ќе се подобри квалитетот на апликацијата, бидејќи проценките и кориснички побарувања ќе бидат многу попрецизни и нивото да прифатливост на апликацијата ќе се зголеми </w:t>
      </w:r>
      <w:r w:rsidR="001C6FAA">
        <w:rPr>
          <w:lang w:val="en-US"/>
        </w:rPr>
        <w:t>[17]</w:t>
      </w:r>
      <w:r w:rsidR="001C6FAA">
        <w:t xml:space="preserve">. </w:t>
      </w:r>
      <w:r w:rsidR="00A344CE">
        <w:t xml:space="preserve">Инволвирањето на крајните корисници придонесува до драстично намалување на времето потребно за развивање на апликацијата бидејќи корисничките проблеми се индетификувани и решени пред да биде лансирана апликацијата. </w:t>
      </w:r>
      <w:r>
        <w:t xml:space="preserve"> </w:t>
      </w:r>
    </w:p>
    <w:p w:rsidR="00EF0947" w:rsidRDefault="007249FF" w:rsidP="002D7354">
      <w:pPr>
        <w:ind w:firstLine="720"/>
        <w:jc w:val="both"/>
        <w:rPr>
          <w:lang w:val="en-US"/>
        </w:rPr>
      </w:pPr>
      <w:r>
        <w:lastRenderedPageBreak/>
        <w:t xml:space="preserve">Овој начин на развивање на апликации не е широко распростанет во светот на медицината. Причини за тоа се недостаток од знаење за важноста на корисничкото тестирање, немање на време и ресурси за да се посвети на истражување и интервјуирање на корисниците пред да започне процесот на развивање, недостаток на знаење и експертиза во принципите на </w:t>
      </w:r>
      <w:r>
        <w:rPr>
          <w:lang w:val="en-US"/>
        </w:rPr>
        <w:t>UCD</w:t>
      </w:r>
      <w:r>
        <w:t xml:space="preserve"> и тенденцијата да се развивааат медицински апликации базирани на разбирањето на програмерите и нивните потреби и приоритети наместо на наменетите корисници.</w:t>
      </w:r>
    </w:p>
    <w:p w:rsidR="00C70ACE" w:rsidRDefault="00C70ACE" w:rsidP="002D7354">
      <w:pPr>
        <w:ind w:firstLine="720"/>
        <w:jc w:val="both"/>
        <w:rPr>
          <w:lang w:val="en-US"/>
        </w:rPr>
      </w:pPr>
      <w:r>
        <w:t xml:space="preserve">Од искуството во </w:t>
      </w:r>
      <w:r>
        <w:rPr>
          <w:lang w:val="en-US"/>
        </w:rPr>
        <w:t>UCD</w:t>
      </w:r>
      <w:r>
        <w:t xml:space="preserve"> во последните 30 години дојдено е до 3 клучни принципи за развивање на </w:t>
      </w:r>
      <w:r>
        <w:rPr>
          <w:lang w:val="en-US"/>
        </w:rPr>
        <w:t xml:space="preserve">UCD </w:t>
      </w:r>
      <w:r>
        <w:t>апликации</w:t>
      </w:r>
      <w:r w:rsidR="00EE3926">
        <w:t xml:space="preserve"> </w:t>
      </w:r>
      <w:r w:rsidR="00EE3926">
        <w:rPr>
          <w:lang w:val="en-US"/>
        </w:rPr>
        <w:t>[18]</w:t>
      </w:r>
      <w:r>
        <w:rPr>
          <w:lang w:val="en-US"/>
        </w:rPr>
        <w:t>:</w:t>
      </w:r>
    </w:p>
    <w:p w:rsidR="00C70ACE" w:rsidRPr="00C70ACE" w:rsidRDefault="00C70ACE" w:rsidP="00C70ACE">
      <w:pPr>
        <w:pStyle w:val="ListParagraph"/>
        <w:numPr>
          <w:ilvl w:val="0"/>
          <w:numId w:val="17"/>
        </w:numPr>
        <w:jc w:val="both"/>
        <w:rPr>
          <w:lang w:val="en-US"/>
        </w:rPr>
      </w:pPr>
      <w:r>
        <w:t>Фокусирање на корисниците и задачите рано и низ целиот развивачки процес</w:t>
      </w:r>
    </w:p>
    <w:p w:rsidR="00C70ACE" w:rsidRPr="00C70ACE" w:rsidRDefault="00C70ACE" w:rsidP="00C70ACE">
      <w:pPr>
        <w:pStyle w:val="ListParagraph"/>
        <w:numPr>
          <w:ilvl w:val="0"/>
          <w:numId w:val="17"/>
        </w:numPr>
        <w:jc w:val="both"/>
        <w:rPr>
          <w:lang w:val="en-US"/>
        </w:rPr>
      </w:pPr>
      <w:r>
        <w:t>Мерење на корисноста на апликацијата на емпириски начин</w:t>
      </w:r>
    </w:p>
    <w:p w:rsidR="00C70ACE" w:rsidRPr="00C70ACE" w:rsidRDefault="00C70ACE" w:rsidP="00C70ACE">
      <w:pPr>
        <w:pStyle w:val="ListParagraph"/>
        <w:numPr>
          <w:ilvl w:val="0"/>
          <w:numId w:val="17"/>
        </w:numPr>
        <w:jc w:val="both"/>
        <w:rPr>
          <w:lang w:val="en-US"/>
        </w:rPr>
      </w:pPr>
      <w:r>
        <w:t xml:space="preserve">Дизајнирањето и тестирањето да се одвива на итеративен начин </w:t>
      </w:r>
    </w:p>
    <w:p w:rsidR="002D7354" w:rsidRPr="00EE3926" w:rsidRDefault="00EE3926" w:rsidP="00EE3926">
      <w:pPr>
        <w:pStyle w:val="Heading2"/>
        <w:numPr>
          <w:ilvl w:val="1"/>
          <w:numId w:val="5"/>
        </w:numPr>
        <w:rPr>
          <w:lang w:val="en-US"/>
        </w:rPr>
      </w:pPr>
      <w:r>
        <w:t>Итеративен дизајн процес</w:t>
      </w:r>
      <w:bookmarkStart w:id="0" w:name="_GoBack"/>
      <w:bookmarkEnd w:id="0"/>
    </w:p>
    <w:p w:rsidR="00A97D49" w:rsidRPr="00A97D49" w:rsidRDefault="00A97D49" w:rsidP="007249FF"/>
    <w:p w:rsidR="006117AE" w:rsidRPr="007B3210" w:rsidRDefault="00A32A45" w:rsidP="00A32A45">
      <w:pPr>
        <w:pStyle w:val="Heading1"/>
        <w:numPr>
          <w:ilvl w:val="0"/>
          <w:numId w:val="5"/>
        </w:numPr>
      </w:pPr>
      <w:r>
        <w:t>Ц</w:t>
      </w:r>
      <w:r w:rsidR="001F7E15">
        <w:t>елна група</w:t>
      </w:r>
    </w:p>
    <w:p w:rsidR="006666A9" w:rsidRDefault="00A32A45" w:rsidP="00A32A45">
      <w:pPr>
        <w:pStyle w:val="Heading2"/>
        <w:numPr>
          <w:ilvl w:val="1"/>
          <w:numId w:val="5"/>
        </w:numPr>
      </w:pPr>
      <w:r>
        <w:t>Опис</w:t>
      </w:r>
    </w:p>
    <w:p w:rsidR="00A57F7D" w:rsidRDefault="00A57F7D" w:rsidP="00A57F7D">
      <w:pPr>
        <w:ind w:firstLine="720"/>
        <w:jc w:val="both"/>
        <w:rPr>
          <w:rFonts w:cstheme="minorHAnsi"/>
        </w:rPr>
      </w:pPr>
      <w:r w:rsidRPr="00A57F7D">
        <w:rPr>
          <w:rFonts w:cstheme="minorHAnsi"/>
        </w:rPr>
        <w:t xml:space="preserve">Целна група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r>
        <w:t>Бројот на луѓе со хронични или долготрајни физички и ментални болести се зболемува. Многу од тие луѓе мора да научат како да живеат со таа болест. Здравствените организации пак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FF29E3">
      <w:pPr>
        <w:ind w:firstLine="720"/>
        <w:jc w:val="both"/>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FF29E3" w:rsidRPr="00FF29E3" w:rsidRDefault="00FF29E3" w:rsidP="00FF29E3">
      <w:pPr>
        <w:pStyle w:val="Heading2"/>
        <w:numPr>
          <w:ilvl w:val="1"/>
          <w:numId w:val="5"/>
        </w:numPr>
      </w:pPr>
      <w:r>
        <w:t>Начин на третман</w:t>
      </w:r>
    </w:p>
    <w:p w:rsidR="00FF29E3" w:rsidRDefault="00FF29E3" w:rsidP="00A745ED">
      <w:pPr>
        <w:pStyle w:val="Heading3"/>
        <w:numPr>
          <w:ilvl w:val="2"/>
          <w:numId w:val="5"/>
        </w:numPr>
      </w:pPr>
      <w:r>
        <w:t>Пациенти</w:t>
      </w:r>
    </w:p>
    <w:p w:rsidR="00FF29E3" w:rsidRDefault="00FF29E3" w:rsidP="00FF29E3">
      <w:pPr>
        <w:jc w:val="both"/>
      </w:pPr>
      <w:r>
        <w:tab/>
        <w:t xml:space="preserve">За секој нов пациент кој е дијагностициран со КОЛ, лекарот за нив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A745ED" w:rsidRDefault="00A745ED" w:rsidP="00A745ED">
      <w:pPr>
        <w:pStyle w:val="Heading3"/>
        <w:numPr>
          <w:ilvl w:val="2"/>
          <w:numId w:val="5"/>
        </w:numPr>
      </w:pPr>
      <w:r>
        <w:lastRenderedPageBreak/>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A745ED" w:rsidRDefault="005919B7" w:rsidP="005919B7">
      <w:pPr>
        <w:pStyle w:val="Heading3"/>
        <w:numPr>
          <w:ilvl w:val="2"/>
          <w:numId w:val="5"/>
        </w:numPr>
        <w:rPr>
          <w:lang w:val="en-US"/>
        </w:rPr>
      </w:pPr>
      <w:r>
        <w:t>Процес</w:t>
      </w:r>
    </w:p>
    <w:p w:rsidR="005919B7" w:rsidRDefault="005919B7" w:rsidP="005919B7">
      <w:pPr>
        <w:ind w:firstLine="720"/>
        <w:jc w:val="both"/>
      </w:pPr>
      <w:r>
        <w:t>Целосниот процес низ кој поминуваат пациентите болни од КОЛ е илустриран на следната слика.</w:t>
      </w:r>
    </w:p>
    <w:p w:rsidR="005919B7" w:rsidRPr="00B51B55" w:rsidRDefault="00004051" w:rsidP="005919B7">
      <w:pPr>
        <w:ind w:firstLine="720"/>
        <w:jc w:val="both"/>
        <w:rPr>
          <w:lang w:val="en-US"/>
        </w:rPr>
      </w:pPr>
      <w:r>
        <w:rPr>
          <w:noProof/>
          <w:lang w:eastAsia="mk-MK"/>
        </w:rPr>
        <w:drawing>
          <wp:inline distT="0" distB="0" distL="0" distR="0">
            <wp:extent cx="5201285"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inline>
        </w:drawing>
      </w: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КОЛ имаат ажурирани </w:t>
      </w:r>
      <w:r>
        <w:lastRenderedPageBreak/>
        <w:t>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B85FF0" w:rsidRPr="00697437" w:rsidRDefault="00697437" w:rsidP="00697437">
      <w:pPr>
        <w:ind w:firstLine="720"/>
        <w:jc w:val="both"/>
      </w:pPr>
      <w:r>
        <w:t>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внеси во системот кој треба да биде изработен преку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завнисност од напредокот на пациентот, планот за напредок редовно се ажурира.</w:t>
      </w:r>
    </w:p>
    <w:p w:rsidR="0094592F" w:rsidRDefault="0094592F" w:rsidP="00E83410">
      <w:pPr>
        <w:ind w:firstLine="720"/>
        <w:rPr>
          <w:rFonts w:cstheme="minorHAnsi"/>
        </w:rPr>
      </w:pPr>
    </w:p>
    <w:p w:rsidR="0094592F" w:rsidRDefault="0094592F" w:rsidP="00697437">
      <w:pPr>
        <w:pStyle w:val="Heading1"/>
        <w:numPr>
          <w:ilvl w:val="0"/>
          <w:numId w:val="5"/>
        </w:numPr>
      </w:pPr>
      <w:r>
        <w:t>Еволуција</w:t>
      </w:r>
    </w:p>
    <w:p w:rsidR="0094592F" w:rsidRDefault="0094592F" w:rsidP="0094592F">
      <w:pPr>
        <w:ind w:firstLine="720"/>
        <w:jc w:val="both"/>
        <w:rPr>
          <w:rFonts w:cstheme="minorHAnsi"/>
          <w:lang w:val="en-US"/>
        </w:rPr>
      </w:pPr>
      <w:r>
        <w:rPr>
          <w:rFonts w:cstheme="minorHAnsi"/>
          <w:noProof/>
          <w:lang w:eastAsia="mk-MK"/>
        </w:rPr>
        <w:drawing>
          <wp:anchor distT="0" distB="0" distL="114300" distR="114300" simplePos="0" relativeHeight="251658240" behindDoc="0" locked="0" layoutInCell="1" allowOverlap="1">
            <wp:simplePos x="0" y="0"/>
            <wp:positionH relativeFrom="column">
              <wp:posOffset>-36576</wp:posOffset>
            </wp:positionH>
            <wp:positionV relativeFrom="paragraph">
              <wp:posOffset>2147240</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sidRPr="0094592F">
        <w:rPr>
          <w:rFonts w:cstheme="minorHAnsi"/>
        </w:rPr>
        <w:t xml:space="preserve">За реализација на овој проект ќе биде користено интерактивно развивање. Процесот ќе се одвива во неколку фази, од кои некои од нив ќе се повторуваат сѐ додека не е достигнато одредено ниво на задоволство кај корисниците. Во планот за работа главната, односно централната улога ќе ја имаат самите корисници. Со нивна помош ќе се креира апликација по нивен вкус и на нивно задоволство. Како што беше нагласено, целната корисничка група се постари и/или болни лица кои страдаат од хронични </w:t>
      </w:r>
      <w:r w:rsidRPr="0094592F">
        <w:rPr>
          <w:rFonts w:cstheme="minorHAnsi"/>
        </w:rPr>
        <w:lastRenderedPageBreak/>
        <w:t>опструктивни белодробни заболувања и од дијабетес и не се во можност премногу често да посетуваат здравствени установи. Дел од овие корисници се планира да учествуваат во следната низа на активности, од кои некои се повторуваат, до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C31004">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C31004">
      <w:pPr>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t>Анализа</w:t>
      </w:r>
    </w:p>
    <w:p w:rsidR="00C07CBA" w:rsidRDefault="00C07CBA" w:rsidP="00C07CBA">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C07CBA">
      <w:r>
        <w:tab/>
        <w:t xml:space="preserve">Анализити покажаа дека има голем недостиг на есенцијални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 од КОП,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w:t>
      </w:r>
      <w:r w:rsidR="00AF4780">
        <w:lastRenderedPageBreak/>
        <w:t>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eastAsia="mk-MK"/>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6B62AC" w:rsidRDefault="00AF4780" w:rsidP="00C07CBA">
      <w:r>
        <w:rPr>
          <w:lang w:val="en-US"/>
        </w:rPr>
        <w:tab/>
      </w:r>
      <w:r>
        <w:t xml:space="preserve">Пациентите не се единствените луѓе заглавени во овој процес. Лекарите исто така имаат потешкотии, најчесто поради се помалиот број на кадри во болниците. </w:t>
      </w:r>
    </w:p>
    <w:p w:rsidR="006B62AC" w:rsidRDefault="006B62AC" w:rsidP="00C07CBA">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работата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да лекарите го </w:t>
      </w:r>
      <w:r w:rsidR="002E7B7B">
        <w:t>фокусираат своето време и знаење кон другите пациенти на кои тоа им е потребно.</w:t>
      </w:r>
    </w:p>
    <w:p w:rsidR="002E7B7B" w:rsidRDefault="002E7B7B" w:rsidP="00C07CBA">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w:t>
      </w:r>
      <w:r>
        <w:lastRenderedPageBreak/>
        <w:t>централизирани и тие губат драгоцено време пребарувајќи ги. Дневното прегледување и мониторинг на пациентите исто така одзема многу време. Лекарите гледаат потенцијал во тоа да пациентите со соодветните информации кои би им биле достапни, тие самите да ги креираат, надгледуваат и зачувуваат нивните здравствени податоци дигитално, со што гвалитетот на нивната грижа би се зголемил.</w:t>
      </w:r>
    </w:p>
    <w:p w:rsidR="002E7B7B" w:rsidRDefault="00B80714" w:rsidP="00C07CBA">
      <w:r>
        <w:tab/>
        <w:t xml:space="preserve">Поради различните дигитални системи кои не секогаш се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eastAsia="mk-MK"/>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021743" w:rsidP="0063490F">
      <w:pPr>
        <w:pStyle w:val="Heading2"/>
        <w:numPr>
          <w:ilvl w:val="1"/>
          <w:numId w:val="5"/>
        </w:numPr>
      </w:pPr>
      <w:r>
        <w:t>Теситрање</w:t>
      </w:r>
      <w:r>
        <w:tab/>
      </w:r>
    </w:p>
    <w:p w:rsidR="009B5596" w:rsidRDefault="0063490F" w:rsidP="0063490F">
      <w:pPr>
        <w:pStyle w:val="Heading1"/>
        <w:numPr>
          <w:ilvl w:val="0"/>
          <w:numId w:val="5"/>
        </w:numPr>
      </w:pPr>
      <w:r>
        <w:t>Заклучок</w:t>
      </w: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Default="003078AE" w:rsidP="00C60A91">
      <w:r>
        <w:t>[2] Marion J. Ball,Jonathan Gold, “Banking on Health: Personal Records and Information Exchange”, Journal of Healthcare Information Management — Vol. 20, No.</w:t>
      </w:r>
    </w:p>
    <w:p w:rsidR="00DB632B" w:rsidRDefault="00DB632B" w:rsidP="00DB632B">
      <w:r>
        <w:rPr>
          <w:lang w:val="en-US"/>
        </w:rPr>
        <w:lastRenderedPageBreak/>
        <w:t xml:space="preserve">[3] </w:t>
      </w:r>
      <w:r>
        <w:t>Crossing the Quality Chasm: A New Health System for the 21st Century, Nat. Acad. Sci., Committee on Quality of Health Care in America, Inst. Medicine, Washington, DC, 2001.</w:t>
      </w:r>
    </w:p>
    <w:p w:rsidR="00EE2C02" w:rsidRPr="004D3334" w:rsidRDefault="00EE2C02" w:rsidP="00DB632B">
      <w:pPr>
        <w:rPr>
          <w:lang w:val="en-US"/>
        </w:rPr>
      </w:pPr>
      <w:r>
        <w:rPr>
          <w:lang w:val="en-US"/>
        </w:rPr>
        <w:t xml:space="preserve">[4] </w:t>
      </w:r>
      <w:r w:rsidRPr="00EE2C02">
        <w:rPr>
          <w:lang w:val="en-US"/>
        </w:rPr>
        <w:t>How are clinicians involved in EHR planning? A process analysis case study of a Region in Denmark</w:t>
      </w:r>
      <w:r w:rsidR="004D3334">
        <w:rPr>
          <w:lang w:val="en-US"/>
        </w:rPr>
        <w:t xml:space="preserve">, </w:t>
      </w:r>
      <w:r w:rsidR="004D3334">
        <w:rPr>
          <w:rFonts w:ascii="SourceSansPro-Semibold" w:hAnsi="SourceSansPro-Semibold" w:cs="SourceSansPro-Semibold"/>
          <w:color w:val="222222"/>
          <w:sz w:val="20"/>
          <w:szCs w:val="20"/>
        </w:rPr>
        <w:t xml:space="preserve">ARTICLE </w:t>
      </w:r>
      <w:r w:rsidR="004D3334">
        <w:rPr>
          <w:rFonts w:ascii="SourceSansPro-It" w:hAnsi="SourceSansPro-It" w:cs="SourceSansPro-It"/>
          <w:color w:val="B5B5B5"/>
          <w:sz w:val="20"/>
          <w:szCs w:val="20"/>
        </w:rPr>
        <w:t xml:space="preserve">in </w:t>
      </w:r>
      <w:r w:rsidR="004D3334">
        <w:rPr>
          <w:rFonts w:ascii="SourceSansPro-Regular" w:hAnsi="SourceSansPro-Regular" w:cs="SourceSansPro-Regular"/>
          <w:color w:val="333333"/>
          <w:sz w:val="20"/>
          <w:szCs w:val="20"/>
        </w:rPr>
        <w:t>STUDIES IN HEALTH TECHNOLOGY AND INFORMATICS · JANUARY 2010</w:t>
      </w:r>
      <w:r w:rsidR="004D3334">
        <w:rPr>
          <w:rFonts w:cs="SourceSansPro-Regular"/>
          <w:color w:val="333333"/>
          <w:sz w:val="20"/>
          <w:szCs w:val="20"/>
          <w:lang w:val="en-US"/>
        </w:rPr>
        <w:t xml:space="preserve">, Aalborg </w:t>
      </w:r>
      <w:proofErr w:type="gramStart"/>
      <w:r w:rsidR="004D3334">
        <w:rPr>
          <w:rFonts w:cs="SourceSansPro-Regular"/>
          <w:color w:val="333333"/>
          <w:sz w:val="20"/>
          <w:szCs w:val="20"/>
          <w:lang w:val="en-US"/>
        </w:rPr>
        <w:t>University ,</w:t>
      </w:r>
      <w:proofErr w:type="gramEnd"/>
      <w:r w:rsidR="004D3334">
        <w:rPr>
          <w:rFonts w:cs="SourceSansPro-Regular"/>
          <w:color w:val="333333"/>
          <w:sz w:val="20"/>
          <w:szCs w:val="20"/>
          <w:lang w:val="en-US"/>
        </w:rPr>
        <w:t xml:space="preserve"> </w:t>
      </w:r>
      <w:r w:rsidR="004D3334">
        <w:rPr>
          <w:rFonts w:ascii="SourceSansPro-Regular" w:hAnsi="SourceSansPro-Regular" w:cs="SourceSansPro-Regular"/>
          <w:color w:val="55B2F6"/>
          <w:sz w:val="20"/>
          <w:szCs w:val="20"/>
        </w:rPr>
        <w:t>Anna Marie Balling Høstgaard</w:t>
      </w:r>
      <w:r w:rsidR="004D3334">
        <w:rPr>
          <w:rFonts w:cs="SourceSansPro-Regular"/>
          <w:color w:val="55B2F6"/>
          <w:sz w:val="20"/>
          <w:szCs w:val="20"/>
          <w:lang w:val="en-US"/>
        </w:rPr>
        <w:t xml:space="preserve">, </w:t>
      </w:r>
      <w:r w:rsidR="004D3334">
        <w:rPr>
          <w:rFonts w:ascii="SourceSansPro-Regular" w:hAnsi="SourceSansPro-Regular" w:cs="SourceSansPro-Regular"/>
          <w:color w:val="55B2F6"/>
          <w:sz w:val="20"/>
          <w:szCs w:val="20"/>
        </w:rPr>
        <w:t>Pernille Bertelsen</w:t>
      </w:r>
      <w:r w:rsidR="004D3334">
        <w:rPr>
          <w:rFonts w:cs="SourceSansPro-Regular"/>
          <w:color w:val="55B2F6"/>
          <w:sz w:val="20"/>
          <w:szCs w:val="20"/>
          <w:lang w:val="en-US"/>
        </w:rPr>
        <w:t xml:space="preserve">, </w:t>
      </w:r>
      <w:r w:rsidR="004D3334">
        <w:rPr>
          <w:rFonts w:ascii="SourceSansPro-Regular" w:hAnsi="SourceSansPro-Regular" w:cs="SourceSansPro-Regular"/>
          <w:color w:val="55B2F6"/>
          <w:sz w:val="20"/>
          <w:szCs w:val="20"/>
        </w:rPr>
        <w:t>Christian Nøhr</w:t>
      </w:r>
    </w:p>
    <w:p w:rsidR="00DB632B" w:rsidRPr="00FA5EA2" w:rsidRDefault="00FA5EA2" w:rsidP="00C60A91">
      <w:pPr>
        <w:rPr>
          <w:lang w:val="en-US"/>
        </w:rPr>
      </w:pPr>
      <w:r>
        <w:rPr>
          <w:lang w:val="en-US"/>
        </w:rPr>
        <w:t xml:space="preserve">[5] </w:t>
      </w:r>
      <w:r>
        <w:rPr>
          <w:rFonts w:ascii="Arial" w:hAnsi="Arial" w:cs="Arial"/>
          <w:color w:val="000000"/>
          <w:sz w:val="19"/>
          <w:szCs w:val="19"/>
          <w:shd w:val="clear" w:color="auto" w:fill="FFFFFF"/>
        </w:rPr>
        <w:t>Boruff JT, Storie D. Mobile devices in medicine: a survey of how medical students, residents, and faculty use smartphones and other mobile devices to find information. J Med Libr Assoc. 2014;102:22-30.</w:t>
      </w:r>
    </w:p>
    <w:p w:rsidR="00FE505E" w:rsidRDefault="008A49A7" w:rsidP="00C60A91">
      <w:pPr>
        <w:rPr>
          <w:rFonts w:ascii="Arial" w:hAnsi="Arial" w:cs="Arial"/>
          <w:color w:val="000000"/>
          <w:sz w:val="19"/>
          <w:szCs w:val="19"/>
          <w:shd w:val="clear" w:color="auto" w:fill="FFFFFF"/>
        </w:rPr>
      </w:pPr>
      <w:r>
        <w:rPr>
          <w:lang w:val="en-US"/>
        </w:rPr>
        <w:t xml:space="preserve">[6] </w:t>
      </w:r>
      <w:r>
        <w:rPr>
          <w:rFonts w:ascii="Arial" w:hAnsi="Arial" w:cs="Arial"/>
          <w:color w:val="000000"/>
          <w:sz w:val="19"/>
          <w:szCs w:val="19"/>
          <w:shd w:val="clear" w:color="auto" w:fill="FFFFFF"/>
        </w:rPr>
        <w:t>Reitzin J. Infographic: doctors prescribing more health apps. mHealthWatch. May 2, 2013.</w:t>
      </w:r>
      <w:r>
        <w:rPr>
          <w:rStyle w:val="apple-converted-space"/>
          <w:rFonts w:ascii="Arial" w:hAnsi="Arial" w:cs="Arial"/>
          <w:color w:val="000000"/>
          <w:sz w:val="19"/>
          <w:szCs w:val="19"/>
          <w:shd w:val="clear" w:color="auto" w:fill="FFFFFF"/>
        </w:rPr>
        <w:t> </w:t>
      </w:r>
      <w:hyperlink r:id="rId10" w:history="1">
        <w:r>
          <w:rPr>
            <w:rStyle w:val="Hyperlink"/>
            <w:rFonts w:ascii="Arial" w:hAnsi="Arial" w:cs="Arial"/>
            <w:color w:val="5757A6"/>
            <w:sz w:val="19"/>
            <w:szCs w:val="19"/>
            <w:shd w:val="clear" w:color="auto" w:fill="FFFFFF"/>
          </w:rPr>
          <w:t>http://mhealthwatch.com/infographic-doctors-prescribing-more-mobile-health-apps-20185/</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1374DC" w:rsidRDefault="003D4DF5" w:rsidP="00C60A91">
      <w:pPr>
        <w:rPr>
          <w:rFonts w:ascii="Arial" w:hAnsi="Arial" w:cs="Arial"/>
          <w:color w:val="000000"/>
          <w:sz w:val="19"/>
          <w:szCs w:val="19"/>
          <w:shd w:val="clear" w:color="auto" w:fill="FFFFFF"/>
        </w:rPr>
      </w:pPr>
      <w:r>
        <w:rPr>
          <w:rFonts w:ascii="Arial" w:hAnsi="Arial" w:cs="Arial"/>
          <w:color w:val="000000"/>
          <w:sz w:val="19"/>
          <w:szCs w:val="19"/>
          <w:shd w:val="clear" w:color="auto" w:fill="FFFFFF"/>
          <w:lang w:val="en-US"/>
        </w:rPr>
        <w:t xml:space="preserve">[7] </w:t>
      </w:r>
      <w:r>
        <w:rPr>
          <w:rFonts w:ascii="Arial" w:hAnsi="Arial" w:cs="Arial"/>
          <w:color w:val="000000"/>
          <w:sz w:val="19"/>
          <w:szCs w:val="19"/>
          <w:shd w:val="clear" w:color="auto" w:fill="FFFFFF"/>
        </w:rPr>
        <w:t>Scher DL. Should you recommend health apps? Medscape Business of Medicine. May 7, 2013.</w:t>
      </w:r>
      <w:r>
        <w:rPr>
          <w:rStyle w:val="apple-converted-space"/>
          <w:rFonts w:ascii="Arial" w:hAnsi="Arial" w:cs="Arial"/>
          <w:color w:val="000000"/>
          <w:sz w:val="19"/>
          <w:szCs w:val="19"/>
          <w:shd w:val="clear" w:color="auto" w:fill="FFFFFF"/>
        </w:rPr>
        <w:t> </w:t>
      </w:r>
      <w:hyperlink r:id="rId11" w:history="1">
        <w:r>
          <w:rPr>
            <w:rStyle w:val="Hyperlink"/>
            <w:rFonts w:ascii="Arial" w:hAnsi="Arial" w:cs="Arial"/>
            <w:color w:val="5757A6"/>
            <w:sz w:val="19"/>
            <w:szCs w:val="19"/>
            <w:shd w:val="clear" w:color="auto" w:fill="FFFFFF"/>
          </w:rPr>
          <w:t>http://www.medscape.com/viewarticle/803503</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Pr="003D4DF5" w:rsidRDefault="003D4DF5" w:rsidP="00C60A91">
      <w:pPr>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 xml:space="preserve">[8] </w:t>
      </w:r>
      <w:r>
        <w:rPr>
          <w:rFonts w:ascii="Arial" w:hAnsi="Arial" w:cs="Arial"/>
          <w:color w:val="000000"/>
          <w:sz w:val="19"/>
          <w:szCs w:val="19"/>
          <w:shd w:val="clear" w:color="auto" w:fill="FFFFFF"/>
        </w:rPr>
        <w:t>Stethoscopes and smartphones: physicians turn to digital tools to boost patient outcomes. PR Newswire. May 29, 2014.</w:t>
      </w:r>
      <w:r>
        <w:rPr>
          <w:rStyle w:val="apple-converted-space"/>
          <w:rFonts w:ascii="Arial" w:hAnsi="Arial" w:cs="Arial"/>
          <w:color w:val="000000"/>
          <w:sz w:val="19"/>
          <w:szCs w:val="19"/>
          <w:shd w:val="clear" w:color="auto" w:fill="FFFFFF"/>
        </w:rPr>
        <w:t> </w:t>
      </w:r>
      <w:hyperlink r:id="rId12" w:history="1">
        <w:r>
          <w:rPr>
            <w:rStyle w:val="Hyperlink"/>
            <w:rFonts w:ascii="Arial" w:hAnsi="Arial" w:cs="Arial"/>
            <w:color w:val="5757A6"/>
            <w:sz w:val="19"/>
            <w:szCs w:val="19"/>
            <w:shd w:val="clear" w:color="auto" w:fill="FFFFFF"/>
          </w:rPr>
          <w:t>http://www.prnewswire.com/news-releases/stethoscopes-and-smartphones-physicians-turn-to-digital-tools-to-boost-patient-outcomes-261089461.html</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C52F80" w:rsidRDefault="00C52F80" w:rsidP="00C52F80">
      <w:r>
        <w:t>[9] Mark N. Frolick, “Using Electronic Medical Records to Improve Patient Care: The St. Jude Children’s Research Hospital Case”, Digital information system, 2009.</w:t>
      </w:r>
    </w:p>
    <w:p w:rsidR="00B727BF" w:rsidRDefault="00B727BF" w:rsidP="00C52F80">
      <w:r>
        <w:rPr>
          <w:lang w:val="en-US"/>
        </w:rPr>
        <w:t xml:space="preserve">[10] </w:t>
      </w:r>
      <w:r>
        <w:t>Edward H. Shortliffe, “The Evolution of Electronic Medical Records”, Academic Medicine 1999</w:t>
      </w:r>
      <w:proofErr w:type="gramStart"/>
      <w:r>
        <w:t>;74</w:t>
      </w:r>
      <w:proofErr w:type="gramEnd"/>
      <w:r>
        <w:t>(4):414-419</w:t>
      </w:r>
    </w:p>
    <w:p w:rsidR="00610F41" w:rsidRPr="00610F41" w:rsidRDefault="00610F41" w:rsidP="00610F41">
      <w:pPr>
        <w:rPr>
          <w:lang w:val="en-US"/>
        </w:rPr>
      </w:pPr>
      <w:r>
        <w:rPr>
          <w:lang w:val="en-US"/>
        </w:rPr>
        <w:t xml:space="preserve">[11] </w:t>
      </w:r>
      <w:r w:rsidRPr="00610F41">
        <w:rPr>
          <w:lang w:val="en-US"/>
        </w:rPr>
        <w:t>How are clinicians involved in EHR planning? A</w:t>
      </w:r>
      <w:r>
        <w:rPr>
          <w:lang w:val="en-US"/>
        </w:rPr>
        <w:t xml:space="preserve"> </w:t>
      </w:r>
      <w:r w:rsidRPr="00610F41">
        <w:rPr>
          <w:lang w:val="en-US"/>
        </w:rPr>
        <w:t xml:space="preserve">process analysis case study of a Region </w:t>
      </w:r>
      <w:r>
        <w:rPr>
          <w:lang w:val="en-US"/>
        </w:rPr>
        <w:t>i</w:t>
      </w:r>
      <w:r w:rsidRPr="00610F41">
        <w:rPr>
          <w:lang w:val="en-US"/>
        </w:rPr>
        <w:t>n</w:t>
      </w:r>
      <w:r>
        <w:rPr>
          <w:lang w:val="en-US"/>
        </w:rPr>
        <w:t xml:space="preserve"> </w:t>
      </w:r>
      <w:r w:rsidRPr="00610F41">
        <w:rPr>
          <w:lang w:val="en-US"/>
        </w:rPr>
        <w:t>Denmark</w:t>
      </w:r>
    </w:p>
    <w:p w:rsidR="00610F41" w:rsidRDefault="00610F41" w:rsidP="00610F41">
      <w:pPr>
        <w:rPr>
          <w:lang w:val="en-US"/>
        </w:rPr>
      </w:pPr>
      <w:r w:rsidRPr="00610F41">
        <w:rPr>
          <w:lang w:val="en-US"/>
        </w:rPr>
        <w:t>ARTICLE in STUDIES IN HEALTH TECHNOLOGY AND INFORMATICS · JANUARY 2010</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Anna Marie Balling Høstgaard</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Pernille Bertelsen</w:t>
      </w:r>
    </w:p>
    <w:p w:rsidR="00610F41" w:rsidRPr="00610F41" w:rsidRDefault="00610F41" w:rsidP="00610F41">
      <w:pPr>
        <w:rPr>
          <w:lang w:val="en-US"/>
        </w:rPr>
      </w:pPr>
      <w:r>
        <w:rPr>
          <w:rFonts w:ascii="SourceSansPro-Regular" w:hAnsi="SourceSansPro-Regular" w:cs="SourceSansPro-Regular"/>
          <w:color w:val="55B2F6"/>
          <w:sz w:val="20"/>
          <w:szCs w:val="20"/>
        </w:rPr>
        <w:t>Christian Nøhr</w:t>
      </w:r>
    </w:p>
    <w:p w:rsidR="001B441F" w:rsidRDefault="001B441F" w:rsidP="001B441F">
      <w:pPr>
        <w:shd w:val="clear" w:color="auto" w:fill="FFFFFF"/>
        <w:rPr>
          <w:rFonts w:ascii="Arial" w:hAnsi="Arial" w:cs="Arial"/>
          <w:b/>
          <w:bCs/>
          <w:color w:val="333333"/>
          <w:sz w:val="30"/>
          <w:szCs w:val="30"/>
        </w:rPr>
      </w:pPr>
      <w:r>
        <w:rPr>
          <w:rFonts w:ascii="Arial" w:hAnsi="Arial" w:cs="Arial"/>
          <w:color w:val="000000"/>
          <w:sz w:val="19"/>
          <w:szCs w:val="19"/>
          <w:shd w:val="clear" w:color="auto" w:fill="FFFFFF"/>
          <w:lang w:val="en-US"/>
        </w:rPr>
        <w:t xml:space="preserve">[12] </w:t>
      </w:r>
      <w:r>
        <w:rPr>
          <w:rFonts w:ascii="Arial" w:hAnsi="Arial" w:cs="Arial"/>
          <w:b/>
          <w:bCs/>
          <w:color w:val="333333"/>
          <w:sz w:val="30"/>
          <w:szCs w:val="30"/>
        </w:rPr>
        <w:t>User-Centered Design</w:t>
      </w:r>
    </w:p>
    <w:p w:rsidR="001B441F" w:rsidRDefault="001B441F" w:rsidP="001B441F">
      <w:pPr>
        <w:shd w:val="clear" w:color="auto" w:fill="FFFFFF"/>
        <w:rPr>
          <w:rFonts w:ascii="Arial" w:hAnsi="Arial" w:cs="Arial"/>
          <w:color w:val="333333"/>
          <w:sz w:val="27"/>
          <w:szCs w:val="27"/>
        </w:rPr>
      </w:pPr>
      <w:r>
        <w:rPr>
          <w:rFonts w:ascii="Arial" w:hAnsi="Arial" w:cs="Arial"/>
          <w:color w:val="333333"/>
          <w:sz w:val="27"/>
          <w:szCs w:val="27"/>
        </w:rPr>
        <w:t>A Developer's Guide to Building User-Friendly Applications</w:t>
      </w:r>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By </w:t>
      </w:r>
      <w:hyperlink r:id="rId13" w:anchor="tab_04_2" w:history="1">
        <w:r>
          <w:rPr>
            <w:rStyle w:val="Hyperlink"/>
            <w:rFonts w:ascii="Arial" w:hAnsi="Arial" w:cs="Arial"/>
            <w:color w:val="207CC1"/>
            <w:sz w:val="18"/>
            <w:szCs w:val="18"/>
          </w:rPr>
          <w:t>Travis Lowdermilk</w:t>
        </w:r>
      </w:hyperlink>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Publisher: O'Reilly Media</w:t>
      </w:r>
    </w:p>
    <w:p w:rsidR="003D4DF5" w:rsidRDefault="002D7354" w:rsidP="00C60A91">
      <w:pPr>
        <w:rPr>
          <w:rStyle w:val="nowrap"/>
          <w:color w:val="000000"/>
          <w:shd w:val="clear" w:color="auto" w:fill="FFFFFF"/>
        </w:rPr>
      </w:pPr>
      <w:r>
        <w:rPr>
          <w:rFonts w:ascii="Arial" w:hAnsi="Arial" w:cs="Arial"/>
          <w:color w:val="000000"/>
          <w:sz w:val="19"/>
          <w:szCs w:val="19"/>
          <w:shd w:val="clear" w:color="auto" w:fill="FFFFFF"/>
          <w:lang w:val="en-US"/>
        </w:rPr>
        <w:t xml:space="preserve">[13] </w:t>
      </w:r>
      <w:r>
        <w:rPr>
          <w:rStyle w:val="citation"/>
          <w:color w:val="000000"/>
          <w:shd w:val="clear" w:color="auto" w:fill="FFFFFF"/>
        </w:rPr>
        <w:t>Combs SD. Startling technologies promise to transform medicine.</w:t>
      </w:r>
      <w:r>
        <w:rPr>
          <w:rStyle w:val="apple-converted-space"/>
          <w:color w:val="000000"/>
          <w:shd w:val="clear" w:color="auto" w:fill="FFFFFF"/>
        </w:rPr>
        <w:t> </w:t>
      </w:r>
      <w:r>
        <w:rPr>
          <w:rStyle w:val="ref-journal"/>
          <w:color w:val="000000"/>
          <w:shd w:val="clear" w:color="auto" w:fill="FFFFFF"/>
        </w:rPr>
        <w:t>British Medical Journal.</w:t>
      </w:r>
      <w:r>
        <w:rPr>
          <w:rStyle w:val="apple-converted-space"/>
          <w:color w:val="000000"/>
          <w:shd w:val="clear" w:color="auto" w:fill="FFFFFF"/>
        </w:rPr>
        <w:t> </w:t>
      </w:r>
      <w:r>
        <w:rPr>
          <w:rStyle w:val="citation"/>
          <w:color w:val="000000"/>
          <w:shd w:val="clear" w:color="auto" w:fill="FFFFFF"/>
        </w:rPr>
        <w:t>2006;</w:t>
      </w:r>
      <w:r>
        <w:rPr>
          <w:rStyle w:val="ref-vol"/>
          <w:color w:val="000000"/>
          <w:shd w:val="clear" w:color="auto" w:fill="FFFFFF"/>
        </w:rPr>
        <w:t>333</w:t>
      </w:r>
      <w:r>
        <w:rPr>
          <w:rStyle w:val="citation"/>
          <w:color w:val="000000"/>
          <w:shd w:val="clear" w:color="auto" w:fill="FFFFFF"/>
        </w:rPr>
        <w:t>(7582):1308–1311.</w:t>
      </w:r>
      <w:r>
        <w:rPr>
          <w:rStyle w:val="apple-converted-space"/>
          <w:color w:val="000000"/>
          <w:shd w:val="clear" w:color="auto" w:fill="FFFFFF"/>
        </w:rPr>
        <w:t> </w:t>
      </w:r>
      <w:r>
        <w:rPr>
          <w:rStyle w:val="nowrap"/>
          <w:color w:val="000000"/>
          <w:shd w:val="clear" w:color="auto" w:fill="FFFFFF"/>
        </w:rPr>
        <w:t>[</w:t>
      </w:r>
      <w:hyperlink r:id="rId14" w:history="1">
        <w:r>
          <w:rPr>
            <w:rStyle w:val="Hyperlink"/>
            <w:color w:val="642A8F"/>
            <w:shd w:val="clear" w:color="auto" w:fill="FFFFFF"/>
          </w:rPr>
          <w:t>PMC free article</w:t>
        </w:r>
      </w:hyperlink>
      <w:r>
        <w:rPr>
          <w:rStyle w:val="nowrap"/>
          <w:color w:val="000000"/>
          <w:shd w:val="clear" w:color="auto" w:fill="FFFFFF"/>
        </w:rPr>
        <w:t>]</w:t>
      </w:r>
      <w:r>
        <w:rPr>
          <w:rStyle w:val="apple-converted-space"/>
          <w:color w:val="000000"/>
          <w:shd w:val="clear" w:color="auto" w:fill="FFFFFF"/>
        </w:rPr>
        <w:t> </w:t>
      </w:r>
      <w:r>
        <w:rPr>
          <w:rStyle w:val="nowrap"/>
          <w:color w:val="000000"/>
          <w:shd w:val="clear" w:color="auto" w:fill="FFFFFF"/>
        </w:rPr>
        <w:t>[</w:t>
      </w:r>
      <w:hyperlink r:id="rId15" w:tgtFrame="pmc_ext" w:history="1">
        <w:r>
          <w:rPr>
            <w:rStyle w:val="Hyperlink"/>
            <w:color w:val="642A8F"/>
            <w:shd w:val="clear" w:color="auto" w:fill="FFFFFF"/>
          </w:rPr>
          <w:t>PubMed</w:t>
        </w:r>
      </w:hyperlink>
      <w:r>
        <w:rPr>
          <w:rStyle w:val="nowrap"/>
          <w:color w:val="000000"/>
          <w:shd w:val="clear" w:color="auto" w:fill="FFFFFF"/>
        </w:rPr>
        <w:t>]</w:t>
      </w:r>
    </w:p>
    <w:p w:rsidR="000B008C" w:rsidRDefault="000B008C" w:rsidP="00C60A91">
      <w:pPr>
        <w:rPr>
          <w:rFonts w:ascii="Arial" w:hAnsi="Arial" w:cs="Arial"/>
          <w:color w:val="303030"/>
          <w:sz w:val="20"/>
          <w:szCs w:val="20"/>
          <w:shd w:val="clear" w:color="auto" w:fill="FFFFFF"/>
        </w:rPr>
      </w:pPr>
      <w:r>
        <w:rPr>
          <w:rFonts w:ascii="Arial" w:hAnsi="Arial" w:cs="Arial"/>
          <w:color w:val="303030"/>
          <w:sz w:val="20"/>
          <w:szCs w:val="20"/>
          <w:shd w:val="clear" w:color="auto" w:fill="FFFFFF"/>
          <w:lang w:val="en-US"/>
        </w:rPr>
        <w:t>[1</w:t>
      </w:r>
      <w:r>
        <w:rPr>
          <w:rFonts w:ascii="Arial" w:hAnsi="Arial" w:cs="Arial"/>
          <w:color w:val="303030"/>
          <w:sz w:val="20"/>
          <w:szCs w:val="20"/>
          <w:shd w:val="clear" w:color="auto" w:fill="FFFFFF"/>
        </w:rPr>
        <w:t>4</w:t>
      </w:r>
      <w:r>
        <w:rPr>
          <w:rFonts w:ascii="Arial" w:hAnsi="Arial" w:cs="Arial"/>
          <w:color w:val="303030"/>
          <w:sz w:val="20"/>
          <w:szCs w:val="20"/>
          <w:shd w:val="clear" w:color="auto" w:fill="FFFFFF"/>
          <w:lang w:val="en-US"/>
        </w:rPr>
        <w:t>]</w:t>
      </w:r>
      <w:r>
        <w:rPr>
          <w:rFonts w:ascii="Arial" w:hAnsi="Arial" w:cs="Arial"/>
          <w:color w:val="303030"/>
          <w:sz w:val="20"/>
          <w:szCs w:val="20"/>
          <w:shd w:val="clear" w:color="auto" w:fill="FFFFFF"/>
        </w:rPr>
        <w:t>.</w:t>
      </w:r>
      <w:r>
        <w:rPr>
          <w:rStyle w:val="apple-converted-space"/>
          <w:rFonts w:ascii="Arial" w:hAnsi="Arial" w:cs="Arial"/>
          <w:color w:val="303030"/>
          <w:sz w:val="20"/>
          <w:szCs w:val="20"/>
          <w:shd w:val="clear" w:color="auto" w:fill="FFFFFF"/>
        </w:rPr>
        <w:t> </w:t>
      </w:r>
      <w:r>
        <w:rPr>
          <w:rStyle w:val="citation"/>
          <w:rFonts w:ascii="Arial" w:hAnsi="Arial" w:cs="Arial"/>
          <w:color w:val="303030"/>
          <w:sz w:val="20"/>
          <w:szCs w:val="20"/>
        </w:rPr>
        <w:t>Robinson TN, et al. An Evidence-based Approach to Interactive Health Communication: A Challenge to Medicine in the Information Age.</w:t>
      </w:r>
      <w:r>
        <w:rPr>
          <w:rStyle w:val="apple-converted-space"/>
          <w:rFonts w:ascii="Arial" w:hAnsi="Arial" w:cs="Arial"/>
          <w:color w:val="303030"/>
          <w:sz w:val="20"/>
          <w:szCs w:val="20"/>
        </w:rPr>
        <w:t> </w:t>
      </w:r>
      <w:r>
        <w:rPr>
          <w:rStyle w:val="ref-journal"/>
          <w:rFonts w:ascii="Arial" w:hAnsi="Arial" w:cs="Arial"/>
          <w:color w:val="303030"/>
          <w:sz w:val="20"/>
          <w:szCs w:val="20"/>
        </w:rPr>
        <w:t>Journal of American Medical Association.</w:t>
      </w:r>
      <w:r>
        <w:rPr>
          <w:rStyle w:val="apple-converted-space"/>
          <w:rFonts w:ascii="Arial" w:hAnsi="Arial" w:cs="Arial"/>
          <w:color w:val="303030"/>
          <w:sz w:val="20"/>
          <w:szCs w:val="20"/>
        </w:rPr>
        <w:t> </w:t>
      </w:r>
      <w:r>
        <w:rPr>
          <w:rStyle w:val="citation"/>
          <w:rFonts w:ascii="Arial" w:hAnsi="Arial" w:cs="Arial"/>
          <w:color w:val="303030"/>
          <w:sz w:val="20"/>
          <w:szCs w:val="20"/>
        </w:rPr>
        <w:t>1998;</w:t>
      </w:r>
      <w:r>
        <w:rPr>
          <w:rStyle w:val="ref-vol"/>
          <w:rFonts w:ascii="Arial" w:hAnsi="Arial" w:cs="Arial"/>
          <w:color w:val="303030"/>
          <w:sz w:val="20"/>
          <w:szCs w:val="20"/>
        </w:rPr>
        <w:t>280</w:t>
      </w:r>
      <w:r>
        <w:rPr>
          <w:rStyle w:val="citation"/>
          <w:rFonts w:ascii="Arial" w:hAnsi="Arial" w:cs="Arial"/>
          <w:color w:val="303030"/>
          <w:sz w:val="20"/>
          <w:szCs w:val="20"/>
        </w:rPr>
        <w:t>:1264–1269.</w:t>
      </w:r>
      <w:r>
        <w:rPr>
          <w:rStyle w:val="apple-converted-space"/>
          <w:rFonts w:ascii="Arial" w:hAnsi="Arial" w:cs="Arial"/>
          <w:color w:val="303030"/>
          <w:sz w:val="20"/>
          <w:szCs w:val="20"/>
        </w:rPr>
        <w:t> </w:t>
      </w:r>
      <w:r>
        <w:rPr>
          <w:rStyle w:val="nowrap"/>
          <w:rFonts w:ascii="Arial" w:hAnsi="Arial" w:cs="Arial"/>
          <w:color w:val="303030"/>
          <w:sz w:val="20"/>
          <w:szCs w:val="20"/>
        </w:rPr>
        <w:t>[</w:t>
      </w:r>
      <w:hyperlink r:id="rId16" w:tgtFrame="pmc_ext" w:history="1">
        <w:r>
          <w:rPr>
            <w:rStyle w:val="Hyperlink"/>
            <w:rFonts w:ascii="Arial" w:hAnsi="Arial" w:cs="Arial"/>
            <w:color w:val="642A8F"/>
            <w:sz w:val="20"/>
            <w:szCs w:val="20"/>
          </w:rPr>
          <w:t>PubMed</w:t>
        </w:r>
      </w:hyperlink>
      <w:r>
        <w:rPr>
          <w:rStyle w:val="nowrap"/>
          <w:rFonts w:ascii="Arial" w:hAnsi="Arial" w:cs="Arial"/>
          <w:color w:val="303030"/>
          <w:sz w:val="20"/>
          <w:szCs w:val="20"/>
        </w:rPr>
        <w:t>]</w:t>
      </w:r>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w:t>
      </w:r>
      <w:hyperlink r:id="rId17" w:anchor="R4" w:history="1">
        <w:r>
          <w:rPr>
            <w:rStyle w:val="Hyperlink"/>
            <w:rFonts w:ascii="Arial" w:hAnsi="Arial" w:cs="Arial"/>
            <w:color w:val="642A8F"/>
            <w:sz w:val="20"/>
            <w:szCs w:val="20"/>
          </w:rPr>
          <w:t>Ref list</w:t>
        </w:r>
      </w:hyperlink>
      <w:r>
        <w:rPr>
          <w:rFonts w:ascii="Arial" w:hAnsi="Arial" w:cs="Arial"/>
          <w:color w:val="303030"/>
          <w:sz w:val="20"/>
          <w:szCs w:val="20"/>
          <w:shd w:val="clear" w:color="auto" w:fill="FFFFFF"/>
        </w:rPr>
        <w:t>]</w:t>
      </w:r>
    </w:p>
    <w:p w:rsidR="003C17D9" w:rsidRDefault="003C17D9" w:rsidP="00C60A91">
      <w:pPr>
        <w:rPr>
          <w:rFonts w:ascii="Arial" w:hAnsi="Arial" w:cs="Arial"/>
          <w:color w:val="303030"/>
          <w:sz w:val="20"/>
          <w:szCs w:val="20"/>
          <w:shd w:val="clear" w:color="auto" w:fill="FFFFFF"/>
        </w:rPr>
      </w:pPr>
      <w:r>
        <w:rPr>
          <w:rFonts w:ascii="Arial" w:hAnsi="Arial" w:cs="Arial"/>
          <w:color w:val="303030"/>
          <w:sz w:val="20"/>
          <w:szCs w:val="20"/>
          <w:shd w:val="clear" w:color="auto" w:fill="FFFFFF"/>
          <w:lang w:val="en-US"/>
        </w:rPr>
        <w:t>[15]</w:t>
      </w:r>
      <w:r>
        <w:rPr>
          <w:rFonts w:ascii="Arial" w:hAnsi="Arial" w:cs="Arial"/>
          <w:color w:val="303030"/>
          <w:sz w:val="20"/>
          <w:szCs w:val="20"/>
          <w:shd w:val="clear" w:color="auto" w:fill="FFFFFF"/>
        </w:rPr>
        <w:t>.</w:t>
      </w:r>
      <w:r>
        <w:rPr>
          <w:rStyle w:val="apple-converted-space"/>
          <w:rFonts w:ascii="Arial" w:hAnsi="Arial" w:cs="Arial"/>
          <w:color w:val="303030"/>
          <w:sz w:val="20"/>
          <w:szCs w:val="20"/>
          <w:shd w:val="clear" w:color="auto" w:fill="FFFFFF"/>
        </w:rPr>
        <w:t> </w:t>
      </w:r>
      <w:r>
        <w:rPr>
          <w:rStyle w:val="citation"/>
          <w:rFonts w:ascii="Arial" w:hAnsi="Arial" w:cs="Arial"/>
          <w:color w:val="303030"/>
          <w:sz w:val="20"/>
          <w:szCs w:val="20"/>
        </w:rPr>
        <w:t>Preece J, et al.</w:t>
      </w:r>
      <w:r>
        <w:rPr>
          <w:rStyle w:val="apple-converted-space"/>
          <w:rFonts w:ascii="Arial" w:hAnsi="Arial" w:cs="Arial"/>
          <w:color w:val="303030"/>
          <w:sz w:val="20"/>
          <w:szCs w:val="20"/>
        </w:rPr>
        <w:t> </w:t>
      </w:r>
      <w:r>
        <w:rPr>
          <w:rStyle w:val="ref-journal"/>
          <w:rFonts w:ascii="Arial" w:hAnsi="Arial" w:cs="Arial"/>
          <w:color w:val="303030"/>
          <w:sz w:val="20"/>
          <w:szCs w:val="20"/>
        </w:rPr>
        <w:t>Human-Computer Interaction.</w:t>
      </w:r>
      <w:r>
        <w:rPr>
          <w:rStyle w:val="apple-converted-space"/>
          <w:rFonts w:ascii="Arial" w:hAnsi="Arial" w:cs="Arial"/>
          <w:color w:val="303030"/>
          <w:sz w:val="20"/>
          <w:szCs w:val="20"/>
        </w:rPr>
        <w:t> </w:t>
      </w:r>
      <w:r>
        <w:rPr>
          <w:rStyle w:val="citation"/>
          <w:rFonts w:ascii="Arial" w:hAnsi="Arial" w:cs="Arial"/>
          <w:color w:val="303030"/>
          <w:sz w:val="20"/>
          <w:szCs w:val="20"/>
        </w:rPr>
        <w:t>Addison-Wesley; Workingham, England: 1994.</w:t>
      </w:r>
      <w:r>
        <w:rPr>
          <w:rStyle w:val="apple-converted-space"/>
          <w:rFonts w:ascii="Arial" w:hAnsi="Arial" w:cs="Arial"/>
          <w:color w:val="303030"/>
          <w:sz w:val="20"/>
          <w:szCs w:val="20"/>
        </w:rPr>
        <w:t> </w:t>
      </w:r>
      <w:r>
        <w:rPr>
          <w:rFonts w:ascii="Arial" w:hAnsi="Arial" w:cs="Arial"/>
          <w:color w:val="303030"/>
          <w:sz w:val="20"/>
          <w:szCs w:val="20"/>
          <w:shd w:val="clear" w:color="auto" w:fill="FFFFFF"/>
        </w:rPr>
        <w:t>[</w:t>
      </w:r>
      <w:hyperlink r:id="rId18" w:anchor="R13" w:history="1">
        <w:r>
          <w:rPr>
            <w:rStyle w:val="Hyperlink"/>
            <w:rFonts w:ascii="Arial" w:hAnsi="Arial" w:cs="Arial"/>
            <w:color w:val="642A8F"/>
            <w:sz w:val="20"/>
            <w:szCs w:val="20"/>
          </w:rPr>
          <w:t>Ref list</w:t>
        </w:r>
      </w:hyperlink>
      <w:r>
        <w:rPr>
          <w:rFonts w:ascii="Arial" w:hAnsi="Arial" w:cs="Arial"/>
          <w:color w:val="303030"/>
          <w:sz w:val="20"/>
          <w:szCs w:val="20"/>
          <w:shd w:val="clear" w:color="auto" w:fill="FFFFFF"/>
        </w:rPr>
        <w:t>]</w:t>
      </w:r>
    </w:p>
    <w:p w:rsidR="0057675B" w:rsidRDefault="00BF55C7" w:rsidP="00C60A91">
      <w:pPr>
        <w:rPr>
          <w:rFonts w:ascii="Arial" w:hAnsi="Arial" w:cs="Arial"/>
          <w:color w:val="303030"/>
          <w:sz w:val="20"/>
          <w:szCs w:val="20"/>
          <w:shd w:val="clear" w:color="auto" w:fill="FFFFFF"/>
        </w:rPr>
      </w:pPr>
      <w:r>
        <w:rPr>
          <w:rFonts w:ascii="Arial" w:hAnsi="Arial" w:cs="Arial"/>
          <w:color w:val="303030"/>
          <w:sz w:val="20"/>
          <w:szCs w:val="20"/>
          <w:shd w:val="clear" w:color="auto" w:fill="FFFFFF"/>
          <w:lang w:val="en-US"/>
        </w:rPr>
        <w:t xml:space="preserve">[16] </w:t>
      </w:r>
      <w:r>
        <w:rPr>
          <w:rStyle w:val="citation"/>
          <w:rFonts w:ascii="Arial" w:hAnsi="Arial" w:cs="Arial"/>
          <w:color w:val="303030"/>
          <w:sz w:val="20"/>
          <w:szCs w:val="20"/>
        </w:rPr>
        <w:t>Lee SH. Usability Testing for Developing Effective Interactive Multimedia Software: Concepts, Dimensions and Procedures.</w:t>
      </w:r>
      <w:r>
        <w:rPr>
          <w:rStyle w:val="apple-converted-space"/>
          <w:rFonts w:ascii="Arial" w:hAnsi="Arial" w:cs="Arial"/>
          <w:color w:val="303030"/>
          <w:sz w:val="20"/>
          <w:szCs w:val="20"/>
        </w:rPr>
        <w:t> </w:t>
      </w:r>
      <w:r>
        <w:rPr>
          <w:rStyle w:val="ref-journal"/>
          <w:rFonts w:ascii="Arial" w:hAnsi="Arial" w:cs="Arial"/>
          <w:color w:val="303030"/>
          <w:sz w:val="20"/>
          <w:szCs w:val="20"/>
        </w:rPr>
        <w:t>Educational Technology &amp; Society.</w:t>
      </w:r>
      <w:r>
        <w:rPr>
          <w:rStyle w:val="apple-converted-space"/>
          <w:rFonts w:ascii="Arial" w:hAnsi="Arial" w:cs="Arial"/>
          <w:color w:val="303030"/>
          <w:sz w:val="20"/>
          <w:szCs w:val="20"/>
        </w:rPr>
        <w:t> </w:t>
      </w:r>
      <w:r>
        <w:rPr>
          <w:rStyle w:val="citation"/>
          <w:rFonts w:ascii="Arial" w:hAnsi="Arial" w:cs="Arial"/>
          <w:color w:val="303030"/>
          <w:sz w:val="20"/>
          <w:szCs w:val="20"/>
        </w:rPr>
        <w:t>1999;</w:t>
      </w:r>
      <w:r>
        <w:rPr>
          <w:rStyle w:val="ref-vol"/>
          <w:rFonts w:ascii="Arial" w:hAnsi="Arial" w:cs="Arial"/>
          <w:color w:val="303030"/>
          <w:sz w:val="20"/>
          <w:szCs w:val="20"/>
        </w:rPr>
        <w:t>2</w:t>
      </w:r>
      <w:r>
        <w:rPr>
          <w:rStyle w:val="citation"/>
          <w:rFonts w:ascii="Arial" w:hAnsi="Arial" w:cs="Arial"/>
          <w:color w:val="303030"/>
          <w:sz w:val="20"/>
          <w:szCs w:val="20"/>
        </w:rPr>
        <w:t>(2):1436–1440.</w:t>
      </w:r>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w:t>
      </w:r>
      <w:hyperlink r:id="rId19" w:anchor="R15" w:history="1">
        <w:r>
          <w:rPr>
            <w:rStyle w:val="Hyperlink"/>
            <w:rFonts w:ascii="Arial" w:hAnsi="Arial" w:cs="Arial"/>
            <w:color w:val="642A8F"/>
            <w:sz w:val="20"/>
            <w:szCs w:val="20"/>
          </w:rPr>
          <w:t>Ref list</w:t>
        </w:r>
      </w:hyperlink>
      <w:r>
        <w:rPr>
          <w:rFonts w:ascii="Arial" w:hAnsi="Arial" w:cs="Arial"/>
          <w:color w:val="303030"/>
          <w:sz w:val="20"/>
          <w:szCs w:val="20"/>
          <w:shd w:val="clear" w:color="auto" w:fill="FFFFFF"/>
        </w:rPr>
        <w:t>]</w:t>
      </w:r>
    </w:p>
    <w:p w:rsidR="00BF55C7" w:rsidRDefault="0057675B" w:rsidP="00C60A91">
      <w:pPr>
        <w:rPr>
          <w:rFonts w:ascii="Arial" w:hAnsi="Arial" w:cs="Arial"/>
          <w:color w:val="303030"/>
          <w:sz w:val="20"/>
          <w:szCs w:val="20"/>
          <w:shd w:val="clear" w:color="auto" w:fill="FFFFFF"/>
        </w:rPr>
      </w:pPr>
      <w:r>
        <w:rPr>
          <w:rFonts w:ascii="Arial" w:hAnsi="Arial" w:cs="Arial"/>
          <w:color w:val="303030"/>
          <w:sz w:val="20"/>
          <w:szCs w:val="20"/>
          <w:shd w:val="clear" w:color="auto" w:fill="FFFFFF"/>
        </w:rPr>
        <w:lastRenderedPageBreak/>
        <w:br/>
      </w:r>
      <w:r>
        <w:rPr>
          <w:rFonts w:ascii="Arial" w:hAnsi="Arial" w:cs="Arial"/>
          <w:color w:val="303030"/>
          <w:sz w:val="20"/>
          <w:szCs w:val="20"/>
          <w:shd w:val="clear" w:color="auto" w:fill="FFFFFF"/>
          <w:lang w:val="en-US"/>
        </w:rPr>
        <w:t xml:space="preserve">[17] </w:t>
      </w:r>
      <w:r>
        <w:rPr>
          <w:rStyle w:val="citation"/>
          <w:rFonts w:ascii="Arial" w:hAnsi="Arial" w:cs="Arial"/>
          <w:color w:val="303030"/>
          <w:sz w:val="20"/>
          <w:szCs w:val="20"/>
        </w:rPr>
        <w:t>Mayhew DJ.</w:t>
      </w:r>
      <w:r>
        <w:rPr>
          <w:rStyle w:val="apple-converted-space"/>
          <w:rFonts w:ascii="Arial" w:hAnsi="Arial" w:cs="Arial"/>
          <w:color w:val="303030"/>
          <w:sz w:val="20"/>
          <w:szCs w:val="20"/>
        </w:rPr>
        <w:t> </w:t>
      </w:r>
      <w:r>
        <w:rPr>
          <w:rStyle w:val="ref-journal"/>
          <w:rFonts w:ascii="Arial" w:hAnsi="Arial" w:cs="Arial"/>
          <w:color w:val="303030"/>
          <w:sz w:val="20"/>
          <w:szCs w:val="20"/>
        </w:rPr>
        <w:t>The Usability Engineering Lifecycle.</w:t>
      </w:r>
      <w:r>
        <w:rPr>
          <w:rStyle w:val="apple-converted-space"/>
          <w:rFonts w:ascii="Arial" w:hAnsi="Arial" w:cs="Arial"/>
          <w:color w:val="303030"/>
          <w:sz w:val="20"/>
          <w:szCs w:val="20"/>
        </w:rPr>
        <w:t> </w:t>
      </w:r>
      <w:r>
        <w:rPr>
          <w:rStyle w:val="citation"/>
          <w:rFonts w:ascii="Arial" w:hAnsi="Arial" w:cs="Arial"/>
          <w:color w:val="303030"/>
          <w:sz w:val="20"/>
          <w:szCs w:val="20"/>
        </w:rPr>
        <w:t>Morgan Kaufmann; San Francisco: 1999. pp. 1–15.</w:t>
      </w:r>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w:t>
      </w:r>
      <w:hyperlink r:id="rId20" w:anchor="R18" w:history="1">
        <w:r>
          <w:rPr>
            <w:rStyle w:val="Hyperlink"/>
            <w:rFonts w:ascii="Arial" w:hAnsi="Arial" w:cs="Arial"/>
            <w:color w:val="642A8F"/>
            <w:sz w:val="20"/>
            <w:szCs w:val="20"/>
          </w:rPr>
          <w:t>Ref list</w:t>
        </w:r>
      </w:hyperlink>
      <w:r>
        <w:rPr>
          <w:rFonts w:ascii="Arial" w:hAnsi="Arial" w:cs="Arial"/>
          <w:color w:val="303030"/>
          <w:sz w:val="20"/>
          <w:szCs w:val="20"/>
          <w:shd w:val="clear" w:color="auto" w:fill="FFFFFF"/>
        </w:rPr>
        <w:t>]</w:t>
      </w:r>
    </w:p>
    <w:p w:rsidR="00750C98" w:rsidRPr="0057675B" w:rsidRDefault="00750C98" w:rsidP="00C60A91">
      <w:pPr>
        <w:rPr>
          <w:rFonts w:ascii="Arial" w:hAnsi="Arial" w:cs="Arial"/>
          <w:color w:val="000000"/>
          <w:sz w:val="19"/>
          <w:szCs w:val="19"/>
          <w:shd w:val="clear" w:color="auto" w:fill="FFFFFF"/>
          <w:lang w:val="en-US"/>
        </w:rPr>
      </w:pPr>
      <w:r>
        <w:rPr>
          <w:rStyle w:val="citation"/>
          <w:rFonts w:ascii="Arial" w:hAnsi="Arial" w:cs="Arial"/>
          <w:color w:val="303030"/>
          <w:sz w:val="20"/>
          <w:szCs w:val="20"/>
          <w:lang w:val="en-US"/>
        </w:rPr>
        <w:t xml:space="preserve">[18] </w:t>
      </w:r>
      <w:r>
        <w:rPr>
          <w:rStyle w:val="citation"/>
          <w:rFonts w:ascii="Arial" w:hAnsi="Arial" w:cs="Arial"/>
          <w:color w:val="303030"/>
          <w:sz w:val="20"/>
          <w:szCs w:val="20"/>
        </w:rPr>
        <w:t>International Organization for Standardization (ISO)</w:t>
      </w:r>
      <w:r>
        <w:rPr>
          <w:rStyle w:val="apple-converted-space"/>
          <w:rFonts w:ascii="Arial" w:hAnsi="Arial" w:cs="Arial"/>
          <w:color w:val="303030"/>
          <w:sz w:val="20"/>
          <w:szCs w:val="20"/>
        </w:rPr>
        <w:t> </w:t>
      </w:r>
      <w:r>
        <w:rPr>
          <w:rStyle w:val="ref-journal"/>
          <w:rFonts w:ascii="Arial" w:hAnsi="Arial" w:cs="Arial"/>
          <w:color w:val="303030"/>
          <w:sz w:val="20"/>
          <w:szCs w:val="20"/>
        </w:rPr>
        <w:t>Human-centred design processes for interactive systems.</w:t>
      </w:r>
      <w:r>
        <w:rPr>
          <w:rStyle w:val="apple-converted-space"/>
          <w:rFonts w:ascii="Arial" w:hAnsi="Arial" w:cs="Arial"/>
          <w:color w:val="303030"/>
          <w:sz w:val="20"/>
          <w:szCs w:val="20"/>
        </w:rPr>
        <w:t> </w:t>
      </w:r>
      <w:r>
        <w:rPr>
          <w:rStyle w:val="citation"/>
          <w:rFonts w:ascii="Arial" w:hAnsi="Arial" w:cs="Arial"/>
          <w:color w:val="303030"/>
          <w:sz w:val="20"/>
          <w:szCs w:val="20"/>
        </w:rPr>
        <w:t>[Accessed May 5, 2007]. ISO 13407:1999 ISO Standards. Available at:</w:t>
      </w:r>
      <w:hyperlink r:id="rId21" w:tgtFrame="pmc_ext" w:history="1">
        <w:r>
          <w:rPr>
            <w:rStyle w:val="Hyperlink"/>
            <w:rFonts w:ascii="Arial" w:hAnsi="Arial" w:cs="Arial"/>
            <w:color w:val="642A8F"/>
            <w:sz w:val="20"/>
            <w:szCs w:val="20"/>
          </w:rPr>
          <w:t>http://www.iso.org/iso/iso_catalogue/catalogue_tc/catalogue_detail.htm?csnumber=21197</w:t>
        </w:r>
      </w:hyperlink>
      <w:r>
        <w:rPr>
          <w:rStyle w:val="citation"/>
          <w:rFonts w:ascii="Arial" w:hAnsi="Arial" w:cs="Arial"/>
          <w:color w:val="303030"/>
          <w:sz w:val="20"/>
          <w:szCs w:val="20"/>
        </w:rPr>
        <w:t>.</w:t>
      </w:r>
      <w:r>
        <w:rPr>
          <w:rStyle w:val="apple-converted-space"/>
          <w:rFonts w:ascii="Arial" w:hAnsi="Arial" w:cs="Arial"/>
          <w:color w:val="303030"/>
          <w:sz w:val="20"/>
          <w:szCs w:val="20"/>
          <w:shd w:val="clear" w:color="auto" w:fill="FFFFFF"/>
        </w:rPr>
        <w:t> </w:t>
      </w:r>
      <w:r>
        <w:rPr>
          <w:rFonts w:ascii="Arial" w:hAnsi="Arial" w:cs="Arial"/>
          <w:color w:val="303030"/>
          <w:sz w:val="20"/>
          <w:szCs w:val="20"/>
          <w:shd w:val="clear" w:color="auto" w:fill="FFFFFF"/>
        </w:rPr>
        <w:t>[</w:t>
      </w:r>
      <w:hyperlink r:id="rId22" w:anchor="R17" w:history="1">
        <w:r>
          <w:rPr>
            <w:rStyle w:val="Hyperlink"/>
            <w:rFonts w:ascii="Arial" w:hAnsi="Arial" w:cs="Arial"/>
            <w:color w:val="642A8F"/>
            <w:sz w:val="20"/>
            <w:szCs w:val="20"/>
          </w:rPr>
          <w:t>Ref list</w:t>
        </w:r>
      </w:hyperlink>
      <w:r>
        <w:rPr>
          <w:rFonts w:ascii="Arial" w:hAnsi="Arial" w:cs="Arial"/>
          <w:color w:val="303030"/>
          <w:sz w:val="20"/>
          <w:szCs w:val="20"/>
          <w:shd w:val="clear" w:color="auto" w:fill="FFFFFF"/>
        </w:rPr>
        <w:t>]</w:t>
      </w:r>
    </w:p>
    <w:p w:rsidR="00253E78" w:rsidRPr="00C51939" w:rsidRDefault="00DB632B" w:rsidP="00253E78">
      <w:pPr>
        <w:rPr>
          <w:lang w:val="en-US"/>
        </w:rPr>
      </w:pPr>
      <w:r>
        <w:t xml:space="preserve"> </w:t>
      </w:r>
    </w:p>
    <w:p w:rsidR="001A0DD4" w:rsidRPr="00BF55C7" w:rsidRDefault="001A0DD4" w:rsidP="00BF55C7">
      <w:pPr>
        <w:rPr>
          <w:lang w:val="en-US"/>
        </w:rPr>
      </w:pPr>
    </w:p>
    <w:sectPr w:rsidR="001A0DD4" w:rsidRPr="00BF5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ourceSansPro-Semibold">
    <w:panose1 w:val="00000000000000000000"/>
    <w:charset w:val="CC"/>
    <w:family w:val="auto"/>
    <w:notTrueType/>
    <w:pitch w:val="default"/>
    <w:sig w:usb0="00000201" w:usb1="00000000" w:usb2="00000000" w:usb3="00000000" w:csb0="00000004" w:csb1="00000000"/>
  </w:font>
  <w:font w:name="SourceSansPro-It">
    <w:panose1 w:val="00000000000000000000"/>
    <w:charset w:val="CC"/>
    <w:family w:val="auto"/>
    <w:notTrueType/>
    <w:pitch w:val="default"/>
    <w:sig w:usb0="00000201" w:usb1="00000000" w:usb2="00000000" w:usb3="00000000" w:csb0="00000004" w:csb1="00000000"/>
  </w:font>
  <w:font w:name="SourceSansPro-Regular">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134F"/>
    <w:multiLevelType w:val="hybridMultilevel"/>
    <w:tmpl w:val="BEEAD1FA"/>
    <w:lvl w:ilvl="0" w:tplc="042F000F">
      <w:start w:val="1"/>
      <w:numFmt w:val="decimal"/>
      <w:lvlText w:val="%1."/>
      <w:lvlJc w:val="left"/>
      <w:pPr>
        <w:ind w:left="1440" w:hanging="360"/>
      </w:pPr>
    </w:lvl>
    <w:lvl w:ilvl="1" w:tplc="042F0019" w:tentative="1">
      <w:start w:val="1"/>
      <w:numFmt w:val="lowerLetter"/>
      <w:lvlText w:val="%2."/>
      <w:lvlJc w:val="left"/>
      <w:pPr>
        <w:ind w:left="2160" w:hanging="360"/>
      </w:pPr>
    </w:lvl>
    <w:lvl w:ilvl="2" w:tplc="042F001B" w:tentative="1">
      <w:start w:val="1"/>
      <w:numFmt w:val="lowerRoman"/>
      <w:lvlText w:val="%3."/>
      <w:lvlJc w:val="right"/>
      <w:pPr>
        <w:ind w:left="2880" w:hanging="180"/>
      </w:pPr>
    </w:lvl>
    <w:lvl w:ilvl="3" w:tplc="042F000F" w:tentative="1">
      <w:start w:val="1"/>
      <w:numFmt w:val="decimal"/>
      <w:lvlText w:val="%4."/>
      <w:lvlJc w:val="left"/>
      <w:pPr>
        <w:ind w:left="3600" w:hanging="360"/>
      </w:pPr>
    </w:lvl>
    <w:lvl w:ilvl="4" w:tplc="042F0019" w:tentative="1">
      <w:start w:val="1"/>
      <w:numFmt w:val="lowerLetter"/>
      <w:lvlText w:val="%5."/>
      <w:lvlJc w:val="left"/>
      <w:pPr>
        <w:ind w:left="4320" w:hanging="360"/>
      </w:pPr>
    </w:lvl>
    <w:lvl w:ilvl="5" w:tplc="042F001B" w:tentative="1">
      <w:start w:val="1"/>
      <w:numFmt w:val="lowerRoman"/>
      <w:lvlText w:val="%6."/>
      <w:lvlJc w:val="right"/>
      <w:pPr>
        <w:ind w:left="5040" w:hanging="180"/>
      </w:pPr>
    </w:lvl>
    <w:lvl w:ilvl="6" w:tplc="042F000F" w:tentative="1">
      <w:start w:val="1"/>
      <w:numFmt w:val="decimal"/>
      <w:lvlText w:val="%7."/>
      <w:lvlJc w:val="left"/>
      <w:pPr>
        <w:ind w:left="5760" w:hanging="360"/>
      </w:pPr>
    </w:lvl>
    <w:lvl w:ilvl="7" w:tplc="042F0019" w:tentative="1">
      <w:start w:val="1"/>
      <w:numFmt w:val="lowerLetter"/>
      <w:lvlText w:val="%8."/>
      <w:lvlJc w:val="left"/>
      <w:pPr>
        <w:ind w:left="6480" w:hanging="360"/>
      </w:pPr>
    </w:lvl>
    <w:lvl w:ilvl="8" w:tplc="042F001B" w:tentative="1">
      <w:start w:val="1"/>
      <w:numFmt w:val="lowerRoman"/>
      <w:lvlText w:val="%9."/>
      <w:lvlJc w:val="right"/>
      <w:pPr>
        <w:ind w:left="7200" w:hanging="180"/>
      </w:pPr>
    </w:lvl>
  </w:abstractNum>
  <w:abstractNum w:abstractNumId="1"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79260CB"/>
    <w:multiLevelType w:val="hybridMultilevel"/>
    <w:tmpl w:val="2B220B16"/>
    <w:lvl w:ilvl="0" w:tplc="042F000F">
      <w:start w:val="1"/>
      <w:numFmt w:val="decimal"/>
      <w:lvlText w:val="%1."/>
      <w:lvlJc w:val="left"/>
      <w:pPr>
        <w:ind w:left="1080" w:hanging="360"/>
      </w:pPr>
    </w:lvl>
    <w:lvl w:ilvl="1" w:tplc="042F0019" w:tentative="1">
      <w:start w:val="1"/>
      <w:numFmt w:val="lowerLetter"/>
      <w:lvlText w:val="%2."/>
      <w:lvlJc w:val="left"/>
      <w:pPr>
        <w:ind w:left="1800" w:hanging="360"/>
      </w:pPr>
    </w:lvl>
    <w:lvl w:ilvl="2" w:tplc="042F001B" w:tentative="1">
      <w:start w:val="1"/>
      <w:numFmt w:val="lowerRoman"/>
      <w:lvlText w:val="%3."/>
      <w:lvlJc w:val="right"/>
      <w:pPr>
        <w:ind w:left="2520" w:hanging="180"/>
      </w:pPr>
    </w:lvl>
    <w:lvl w:ilvl="3" w:tplc="042F000F" w:tentative="1">
      <w:start w:val="1"/>
      <w:numFmt w:val="decimal"/>
      <w:lvlText w:val="%4."/>
      <w:lvlJc w:val="left"/>
      <w:pPr>
        <w:ind w:left="3240" w:hanging="360"/>
      </w:pPr>
    </w:lvl>
    <w:lvl w:ilvl="4" w:tplc="042F0019" w:tentative="1">
      <w:start w:val="1"/>
      <w:numFmt w:val="lowerLetter"/>
      <w:lvlText w:val="%5."/>
      <w:lvlJc w:val="left"/>
      <w:pPr>
        <w:ind w:left="3960" w:hanging="360"/>
      </w:pPr>
    </w:lvl>
    <w:lvl w:ilvl="5" w:tplc="042F001B" w:tentative="1">
      <w:start w:val="1"/>
      <w:numFmt w:val="lowerRoman"/>
      <w:lvlText w:val="%6."/>
      <w:lvlJc w:val="right"/>
      <w:pPr>
        <w:ind w:left="4680" w:hanging="180"/>
      </w:pPr>
    </w:lvl>
    <w:lvl w:ilvl="6" w:tplc="042F000F" w:tentative="1">
      <w:start w:val="1"/>
      <w:numFmt w:val="decimal"/>
      <w:lvlText w:val="%7."/>
      <w:lvlJc w:val="left"/>
      <w:pPr>
        <w:ind w:left="5400" w:hanging="360"/>
      </w:pPr>
    </w:lvl>
    <w:lvl w:ilvl="7" w:tplc="042F0019" w:tentative="1">
      <w:start w:val="1"/>
      <w:numFmt w:val="lowerLetter"/>
      <w:lvlText w:val="%8."/>
      <w:lvlJc w:val="left"/>
      <w:pPr>
        <w:ind w:left="6120" w:hanging="360"/>
      </w:pPr>
    </w:lvl>
    <w:lvl w:ilvl="8" w:tplc="042F001B" w:tentative="1">
      <w:start w:val="1"/>
      <w:numFmt w:val="lowerRoman"/>
      <w:lvlText w:val="%9."/>
      <w:lvlJc w:val="right"/>
      <w:pPr>
        <w:ind w:left="6840" w:hanging="180"/>
      </w:pPr>
    </w:lvl>
  </w:abstractNum>
  <w:abstractNum w:abstractNumId="4"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6"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7"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9" w15:restartNumberingAfterBreak="0">
    <w:nsid w:val="3F6D67F4"/>
    <w:multiLevelType w:val="hybridMultilevel"/>
    <w:tmpl w:val="814CCD20"/>
    <w:lvl w:ilvl="0" w:tplc="042F0001">
      <w:start w:val="1"/>
      <w:numFmt w:val="bullet"/>
      <w:lvlText w:val=""/>
      <w:lvlJc w:val="left"/>
      <w:pPr>
        <w:ind w:left="1440" w:hanging="360"/>
      </w:pPr>
      <w:rPr>
        <w:rFonts w:ascii="Symbol" w:hAnsi="Symbol" w:hint="default"/>
      </w:rPr>
    </w:lvl>
    <w:lvl w:ilvl="1" w:tplc="042F0003" w:tentative="1">
      <w:start w:val="1"/>
      <w:numFmt w:val="bullet"/>
      <w:lvlText w:val="o"/>
      <w:lvlJc w:val="left"/>
      <w:pPr>
        <w:ind w:left="2160" w:hanging="360"/>
      </w:pPr>
      <w:rPr>
        <w:rFonts w:ascii="Courier New" w:hAnsi="Courier New" w:cs="Courier New" w:hint="default"/>
      </w:rPr>
    </w:lvl>
    <w:lvl w:ilvl="2" w:tplc="042F0005" w:tentative="1">
      <w:start w:val="1"/>
      <w:numFmt w:val="bullet"/>
      <w:lvlText w:val=""/>
      <w:lvlJc w:val="left"/>
      <w:pPr>
        <w:ind w:left="2880" w:hanging="360"/>
      </w:pPr>
      <w:rPr>
        <w:rFonts w:ascii="Wingdings" w:hAnsi="Wingdings" w:hint="default"/>
      </w:rPr>
    </w:lvl>
    <w:lvl w:ilvl="3" w:tplc="042F0001" w:tentative="1">
      <w:start w:val="1"/>
      <w:numFmt w:val="bullet"/>
      <w:lvlText w:val=""/>
      <w:lvlJc w:val="left"/>
      <w:pPr>
        <w:ind w:left="3600" w:hanging="360"/>
      </w:pPr>
      <w:rPr>
        <w:rFonts w:ascii="Symbol" w:hAnsi="Symbol" w:hint="default"/>
      </w:rPr>
    </w:lvl>
    <w:lvl w:ilvl="4" w:tplc="042F0003" w:tentative="1">
      <w:start w:val="1"/>
      <w:numFmt w:val="bullet"/>
      <w:lvlText w:val="o"/>
      <w:lvlJc w:val="left"/>
      <w:pPr>
        <w:ind w:left="4320" w:hanging="360"/>
      </w:pPr>
      <w:rPr>
        <w:rFonts w:ascii="Courier New" w:hAnsi="Courier New" w:cs="Courier New" w:hint="default"/>
      </w:rPr>
    </w:lvl>
    <w:lvl w:ilvl="5" w:tplc="042F0005" w:tentative="1">
      <w:start w:val="1"/>
      <w:numFmt w:val="bullet"/>
      <w:lvlText w:val=""/>
      <w:lvlJc w:val="left"/>
      <w:pPr>
        <w:ind w:left="5040" w:hanging="360"/>
      </w:pPr>
      <w:rPr>
        <w:rFonts w:ascii="Wingdings" w:hAnsi="Wingdings" w:hint="default"/>
      </w:rPr>
    </w:lvl>
    <w:lvl w:ilvl="6" w:tplc="042F0001" w:tentative="1">
      <w:start w:val="1"/>
      <w:numFmt w:val="bullet"/>
      <w:lvlText w:val=""/>
      <w:lvlJc w:val="left"/>
      <w:pPr>
        <w:ind w:left="5760" w:hanging="360"/>
      </w:pPr>
      <w:rPr>
        <w:rFonts w:ascii="Symbol" w:hAnsi="Symbol" w:hint="default"/>
      </w:rPr>
    </w:lvl>
    <w:lvl w:ilvl="7" w:tplc="042F0003" w:tentative="1">
      <w:start w:val="1"/>
      <w:numFmt w:val="bullet"/>
      <w:lvlText w:val="o"/>
      <w:lvlJc w:val="left"/>
      <w:pPr>
        <w:ind w:left="6480" w:hanging="360"/>
      </w:pPr>
      <w:rPr>
        <w:rFonts w:ascii="Courier New" w:hAnsi="Courier New" w:cs="Courier New" w:hint="default"/>
      </w:rPr>
    </w:lvl>
    <w:lvl w:ilvl="8" w:tplc="042F0005" w:tentative="1">
      <w:start w:val="1"/>
      <w:numFmt w:val="bullet"/>
      <w:lvlText w:val=""/>
      <w:lvlJc w:val="left"/>
      <w:pPr>
        <w:ind w:left="7200" w:hanging="360"/>
      </w:pPr>
      <w:rPr>
        <w:rFonts w:ascii="Wingdings" w:hAnsi="Wingdings" w:hint="default"/>
      </w:rPr>
    </w:lvl>
  </w:abstractNum>
  <w:abstractNum w:abstractNumId="10" w15:restartNumberingAfterBreak="0">
    <w:nsid w:val="4408193F"/>
    <w:multiLevelType w:val="hybridMultilevel"/>
    <w:tmpl w:val="741CF3BC"/>
    <w:lvl w:ilvl="0" w:tplc="042F000F">
      <w:start w:val="1"/>
      <w:numFmt w:val="decimal"/>
      <w:lvlText w:val="%1."/>
      <w:lvlJc w:val="left"/>
      <w:pPr>
        <w:ind w:left="1080" w:hanging="360"/>
      </w:pPr>
    </w:lvl>
    <w:lvl w:ilvl="1" w:tplc="042F0019" w:tentative="1">
      <w:start w:val="1"/>
      <w:numFmt w:val="lowerLetter"/>
      <w:lvlText w:val="%2."/>
      <w:lvlJc w:val="left"/>
      <w:pPr>
        <w:ind w:left="1800" w:hanging="360"/>
      </w:pPr>
    </w:lvl>
    <w:lvl w:ilvl="2" w:tplc="042F001B" w:tentative="1">
      <w:start w:val="1"/>
      <w:numFmt w:val="lowerRoman"/>
      <w:lvlText w:val="%3."/>
      <w:lvlJc w:val="right"/>
      <w:pPr>
        <w:ind w:left="2520" w:hanging="180"/>
      </w:pPr>
    </w:lvl>
    <w:lvl w:ilvl="3" w:tplc="042F000F" w:tentative="1">
      <w:start w:val="1"/>
      <w:numFmt w:val="decimal"/>
      <w:lvlText w:val="%4."/>
      <w:lvlJc w:val="left"/>
      <w:pPr>
        <w:ind w:left="3240" w:hanging="360"/>
      </w:pPr>
    </w:lvl>
    <w:lvl w:ilvl="4" w:tplc="042F0019" w:tentative="1">
      <w:start w:val="1"/>
      <w:numFmt w:val="lowerLetter"/>
      <w:lvlText w:val="%5."/>
      <w:lvlJc w:val="left"/>
      <w:pPr>
        <w:ind w:left="3960" w:hanging="360"/>
      </w:pPr>
    </w:lvl>
    <w:lvl w:ilvl="5" w:tplc="042F001B" w:tentative="1">
      <w:start w:val="1"/>
      <w:numFmt w:val="lowerRoman"/>
      <w:lvlText w:val="%6."/>
      <w:lvlJc w:val="right"/>
      <w:pPr>
        <w:ind w:left="4680" w:hanging="180"/>
      </w:pPr>
    </w:lvl>
    <w:lvl w:ilvl="6" w:tplc="042F000F" w:tentative="1">
      <w:start w:val="1"/>
      <w:numFmt w:val="decimal"/>
      <w:lvlText w:val="%7."/>
      <w:lvlJc w:val="left"/>
      <w:pPr>
        <w:ind w:left="5400" w:hanging="360"/>
      </w:pPr>
    </w:lvl>
    <w:lvl w:ilvl="7" w:tplc="042F0019" w:tentative="1">
      <w:start w:val="1"/>
      <w:numFmt w:val="lowerLetter"/>
      <w:lvlText w:val="%8."/>
      <w:lvlJc w:val="left"/>
      <w:pPr>
        <w:ind w:left="6120" w:hanging="360"/>
      </w:pPr>
    </w:lvl>
    <w:lvl w:ilvl="8" w:tplc="042F001B" w:tentative="1">
      <w:start w:val="1"/>
      <w:numFmt w:val="lowerRoman"/>
      <w:lvlText w:val="%9."/>
      <w:lvlJc w:val="right"/>
      <w:pPr>
        <w:ind w:left="6840" w:hanging="180"/>
      </w:pPr>
    </w:lvl>
  </w:abstractNum>
  <w:abstractNum w:abstractNumId="11"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4"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16"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18"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8"/>
  </w:num>
  <w:num w:numId="4">
    <w:abstractNumId w:val="17"/>
  </w:num>
  <w:num w:numId="5">
    <w:abstractNumId w:val="7"/>
  </w:num>
  <w:num w:numId="6">
    <w:abstractNumId w:val="11"/>
  </w:num>
  <w:num w:numId="7">
    <w:abstractNumId w:val="12"/>
  </w:num>
  <w:num w:numId="8">
    <w:abstractNumId w:val="16"/>
  </w:num>
  <w:num w:numId="9">
    <w:abstractNumId w:val="15"/>
  </w:num>
  <w:num w:numId="10">
    <w:abstractNumId w:val="13"/>
  </w:num>
  <w:num w:numId="11">
    <w:abstractNumId w:val="1"/>
  </w:num>
  <w:num w:numId="12">
    <w:abstractNumId w:val="14"/>
  </w:num>
  <w:num w:numId="13">
    <w:abstractNumId w:val="6"/>
  </w:num>
  <w:num w:numId="14">
    <w:abstractNumId w:val="4"/>
  </w:num>
  <w:num w:numId="15">
    <w:abstractNumId w:val="2"/>
  </w:num>
  <w:num w:numId="16">
    <w:abstractNumId w:val="9"/>
  </w:num>
  <w:num w:numId="17">
    <w:abstractNumId w:val="3"/>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21743"/>
    <w:rsid w:val="0004369F"/>
    <w:rsid w:val="000959AF"/>
    <w:rsid w:val="00096B1C"/>
    <w:rsid w:val="000B008C"/>
    <w:rsid w:val="001143B9"/>
    <w:rsid w:val="001374DC"/>
    <w:rsid w:val="00177EAF"/>
    <w:rsid w:val="00186C48"/>
    <w:rsid w:val="00190633"/>
    <w:rsid w:val="00195544"/>
    <w:rsid w:val="001A0DD4"/>
    <w:rsid w:val="001B15BA"/>
    <w:rsid w:val="001B441F"/>
    <w:rsid w:val="001C6FAA"/>
    <w:rsid w:val="001D1DE2"/>
    <w:rsid w:val="001F39A1"/>
    <w:rsid w:val="001F4A01"/>
    <w:rsid w:val="001F7E15"/>
    <w:rsid w:val="0021286A"/>
    <w:rsid w:val="00253E78"/>
    <w:rsid w:val="002552EE"/>
    <w:rsid w:val="0026308D"/>
    <w:rsid w:val="002707BE"/>
    <w:rsid w:val="002959D0"/>
    <w:rsid w:val="002C2873"/>
    <w:rsid w:val="002C5A76"/>
    <w:rsid w:val="002D7354"/>
    <w:rsid w:val="002D7355"/>
    <w:rsid w:val="002E0E51"/>
    <w:rsid w:val="002E18DE"/>
    <w:rsid w:val="002E7B7B"/>
    <w:rsid w:val="003078AE"/>
    <w:rsid w:val="00343BA1"/>
    <w:rsid w:val="00380D7E"/>
    <w:rsid w:val="00382FC0"/>
    <w:rsid w:val="00397AC5"/>
    <w:rsid w:val="003B0E9E"/>
    <w:rsid w:val="003C17D9"/>
    <w:rsid w:val="003D4DF5"/>
    <w:rsid w:val="003F10A4"/>
    <w:rsid w:val="00433096"/>
    <w:rsid w:val="00457FB7"/>
    <w:rsid w:val="00460759"/>
    <w:rsid w:val="0047171F"/>
    <w:rsid w:val="004947DC"/>
    <w:rsid w:val="004D3334"/>
    <w:rsid w:val="004E7D2B"/>
    <w:rsid w:val="004F7815"/>
    <w:rsid w:val="00545127"/>
    <w:rsid w:val="00572A03"/>
    <w:rsid w:val="0057675B"/>
    <w:rsid w:val="00577A1D"/>
    <w:rsid w:val="00584ED0"/>
    <w:rsid w:val="005919B7"/>
    <w:rsid w:val="005A1B9C"/>
    <w:rsid w:val="005B1856"/>
    <w:rsid w:val="005B4576"/>
    <w:rsid w:val="00610F41"/>
    <w:rsid w:val="006117AE"/>
    <w:rsid w:val="0063490F"/>
    <w:rsid w:val="00652674"/>
    <w:rsid w:val="00660102"/>
    <w:rsid w:val="0066188D"/>
    <w:rsid w:val="006666A9"/>
    <w:rsid w:val="00676E4E"/>
    <w:rsid w:val="00697437"/>
    <w:rsid w:val="006A5695"/>
    <w:rsid w:val="006B62AC"/>
    <w:rsid w:val="006D682B"/>
    <w:rsid w:val="007249FF"/>
    <w:rsid w:val="00740511"/>
    <w:rsid w:val="00750C98"/>
    <w:rsid w:val="007A2393"/>
    <w:rsid w:val="007B3210"/>
    <w:rsid w:val="007D697D"/>
    <w:rsid w:val="00812A5A"/>
    <w:rsid w:val="0081628C"/>
    <w:rsid w:val="00820B2B"/>
    <w:rsid w:val="00897869"/>
    <w:rsid w:val="008A0EFD"/>
    <w:rsid w:val="008A3C17"/>
    <w:rsid w:val="008A46F2"/>
    <w:rsid w:val="008A49A7"/>
    <w:rsid w:val="008D085A"/>
    <w:rsid w:val="008E4AAA"/>
    <w:rsid w:val="0093047C"/>
    <w:rsid w:val="0094262C"/>
    <w:rsid w:val="0094592F"/>
    <w:rsid w:val="009527F0"/>
    <w:rsid w:val="00970EC4"/>
    <w:rsid w:val="009B5596"/>
    <w:rsid w:val="009C5C96"/>
    <w:rsid w:val="00A16588"/>
    <w:rsid w:val="00A215A3"/>
    <w:rsid w:val="00A32A45"/>
    <w:rsid w:val="00A344CE"/>
    <w:rsid w:val="00A57F7D"/>
    <w:rsid w:val="00A745ED"/>
    <w:rsid w:val="00A7552A"/>
    <w:rsid w:val="00A97D49"/>
    <w:rsid w:val="00A97D4B"/>
    <w:rsid w:val="00AA4919"/>
    <w:rsid w:val="00AB3312"/>
    <w:rsid w:val="00AE4BA2"/>
    <w:rsid w:val="00AF4780"/>
    <w:rsid w:val="00AF5856"/>
    <w:rsid w:val="00B302E1"/>
    <w:rsid w:val="00B51B55"/>
    <w:rsid w:val="00B56703"/>
    <w:rsid w:val="00B727BF"/>
    <w:rsid w:val="00B80714"/>
    <w:rsid w:val="00B85FF0"/>
    <w:rsid w:val="00B86E7E"/>
    <w:rsid w:val="00B97849"/>
    <w:rsid w:val="00BA1F66"/>
    <w:rsid w:val="00BD5725"/>
    <w:rsid w:val="00BF55C7"/>
    <w:rsid w:val="00C07CBA"/>
    <w:rsid w:val="00C12FFE"/>
    <w:rsid w:val="00C31004"/>
    <w:rsid w:val="00C52F80"/>
    <w:rsid w:val="00C57302"/>
    <w:rsid w:val="00C60A91"/>
    <w:rsid w:val="00C674BF"/>
    <w:rsid w:val="00C70ACE"/>
    <w:rsid w:val="00C8244B"/>
    <w:rsid w:val="00C8463B"/>
    <w:rsid w:val="00CD4192"/>
    <w:rsid w:val="00CF0886"/>
    <w:rsid w:val="00CF4CD7"/>
    <w:rsid w:val="00D162DE"/>
    <w:rsid w:val="00D77B39"/>
    <w:rsid w:val="00D837F3"/>
    <w:rsid w:val="00DA0707"/>
    <w:rsid w:val="00DB3BA4"/>
    <w:rsid w:val="00DB632B"/>
    <w:rsid w:val="00DD6888"/>
    <w:rsid w:val="00DF01F5"/>
    <w:rsid w:val="00E02C94"/>
    <w:rsid w:val="00E05630"/>
    <w:rsid w:val="00E11CF2"/>
    <w:rsid w:val="00E3274A"/>
    <w:rsid w:val="00E46351"/>
    <w:rsid w:val="00E47416"/>
    <w:rsid w:val="00E70FC9"/>
    <w:rsid w:val="00E73CD4"/>
    <w:rsid w:val="00E83410"/>
    <w:rsid w:val="00EC0C60"/>
    <w:rsid w:val="00EE2C02"/>
    <w:rsid w:val="00EE3926"/>
    <w:rsid w:val="00EE447F"/>
    <w:rsid w:val="00EF0947"/>
    <w:rsid w:val="00EF1098"/>
    <w:rsid w:val="00F14150"/>
    <w:rsid w:val="00F7697D"/>
    <w:rsid w:val="00F92284"/>
    <w:rsid w:val="00FA5DC7"/>
    <w:rsid w:val="00FA5EA2"/>
    <w:rsid w:val="00FD23EE"/>
    <w:rsid w:val="00FE505E"/>
    <w:rsid w:val="00FF29E3"/>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D49"/>
    <w:rPr>
      <w:sz w:val="24"/>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9E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E1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FF29E3"/>
    <w:rPr>
      <w:rFonts w:asciiTheme="majorHAnsi" w:eastAsiaTheme="majorEastAsia" w:hAnsiTheme="majorHAnsi" w:cstheme="majorBidi"/>
      <w:color w:val="1F4D78" w:themeColor="accent1" w:themeShade="7F"/>
      <w:sz w:val="24"/>
      <w:szCs w:val="24"/>
    </w:rPr>
  </w:style>
  <w:style w:type="character" w:customStyle="1" w:styleId="citation">
    <w:name w:val="citation"/>
    <w:basedOn w:val="DefaultParagraphFont"/>
    <w:rsid w:val="002D7354"/>
  </w:style>
  <w:style w:type="character" w:customStyle="1" w:styleId="ref-journal">
    <w:name w:val="ref-journal"/>
    <w:basedOn w:val="DefaultParagraphFont"/>
    <w:rsid w:val="002D7354"/>
  </w:style>
  <w:style w:type="character" w:customStyle="1" w:styleId="ref-vol">
    <w:name w:val="ref-vol"/>
    <w:basedOn w:val="DefaultParagraphFont"/>
    <w:rsid w:val="002D7354"/>
  </w:style>
  <w:style w:type="character" w:customStyle="1" w:styleId="nowrap">
    <w:name w:val="nowrap"/>
    <w:basedOn w:val="DefaultParagraphFont"/>
    <w:rsid w:val="002D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op.oreilly.com/product/0636920028741.do" TargetMode="External"/><Relationship Id="rId18" Type="http://schemas.openxmlformats.org/officeDocument/2006/relationships/hyperlink" Target="https://www.ncbi.nlm.nih.gov/pmc/articles/PMC2818536/" TargetMode="External"/><Relationship Id="rId3" Type="http://schemas.openxmlformats.org/officeDocument/2006/relationships/styles" Target="styles.xml"/><Relationship Id="rId21" Type="http://schemas.openxmlformats.org/officeDocument/2006/relationships/hyperlink" Target="http://www.iso.org/iso/iso_catalogue/catalogue_tc/catalogue_detail.htm?csnumber=21197" TargetMode="External"/><Relationship Id="rId7" Type="http://schemas.openxmlformats.org/officeDocument/2006/relationships/image" Target="media/image2.png"/><Relationship Id="rId12" Type="http://schemas.openxmlformats.org/officeDocument/2006/relationships/hyperlink" Target="http://www.prnewswire.com/news-releases/stethoscopes-and-smartphones-physicians-turn-to-digital-tools-to-boost-patient-outcomes-261089461.html" TargetMode="External"/><Relationship Id="rId17" Type="http://schemas.openxmlformats.org/officeDocument/2006/relationships/hyperlink" Target="https://www.ncbi.nlm.nih.gov/pmc/articles/PMC2818536/" TargetMode="External"/><Relationship Id="rId2" Type="http://schemas.openxmlformats.org/officeDocument/2006/relationships/numbering" Target="numbering.xml"/><Relationship Id="rId16" Type="http://schemas.openxmlformats.org/officeDocument/2006/relationships/hyperlink" Target="https://www.ncbi.nlm.nih.gov/pubmed/9786378" TargetMode="External"/><Relationship Id="rId20" Type="http://schemas.openxmlformats.org/officeDocument/2006/relationships/hyperlink" Target="https://www.ncbi.nlm.nih.gov/pmc/articles/PMC281853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edscape.com/viewarticle/80350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ubmed/17185719" TargetMode="External"/><Relationship Id="rId23" Type="http://schemas.openxmlformats.org/officeDocument/2006/relationships/fontTable" Target="fontTable.xml"/><Relationship Id="rId10" Type="http://schemas.openxmlformats.org/officeDocument/2006/relationships/hyperlink" Target="http://mhealthwatch.com/infographic-doctors-prescribing-more-mobile-health-apps-20185/" TargetMode="External"/><Relationship Id="rId19" Type="http://schemas.openxmlformats.org/officeDocument/2006/relationships/hyperlink" Target="https://www.ncbi.nlm.nih.gov/pmc/articles/PMC281853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cbi.nlm.nih.gov/pmc/articles/PMC1761153/" TargetMode="External"/><Relationship Id="rId22" Type="http://schemas.openxmlformats.org/officeDocument/2006/relationships/hyperlink" Target="https://www.ncbi.nlm.nih.gov/pmc/articles/PMC2818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A1F9D-6873-4EF7-9148-D65BD8E1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6963</TotalTime>
  <Pages>14</Pages>
  <Words>4704</Words>
  <Characters>26815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115</cp:revision>
  <dcterms:created xsi:type="dcterms:W3CDTF">2016-12-26T12:24:00Z</dcterms:created>
  <dcterms:modified xsi:type="dcterms:W3CDTF">2017-04-19T15:14:00Z</dcterms:modified>
</cp:coreProperties>
</file>