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7CC"/>
          <w:sz w:val="72"/>
        </w:rPr>
        <w:t>AlgoTrader</w:t>
      </w:r>
    </w:p>
    <w:p>
      <w:pPr>
        <w:jc w:val="center"/>
      </w:pPr>
      <w:r>
        <w:rPr>
          <w:color w:val="444455"/>
          <w:sz w:val="36"/>
        </w:rPr>
        <w:t>Manual de Usuario</w:t>
      </w:r>
    </w:p>
    <w:p/>
    <w:p>
      <w:pPr>
        <w:jc w:val="center"/>
      </w:pPr>
      <w:r>
        <w:rPr>
          <w:i/>
          <w:color w:val="444455"/>
          <w:sz w:val="24"/>
        </w:rPr>
        <w:t>Herramienta de análisis bursátil con Inteligencia Artificial</w:t>
        <w:br/>
        <w:t>XGBoost · Yahoo Finance · Alpaca Markets · Paper Trading</w:t>
      </w:r>
    </w:p>
    <w:p>
      <w:r>
        <w:br w:type="page"/>
      </w:r>
    </w:p>
    <w:p>
      <w:pPr>
        <w:spacing w:after="200"/>
      </w:pPr>
      <w:r>
        <w:rPr>
          <w:b/>
          <w:color w:val="0077CC"/>
          <w:sz w:val="40"/>
        </w:rPr>
        <w:t>Índice</w:t>
      </w:r>
    </w:p>
    <w:p>
      <w:r>
        <w:fldChar w:fldCharType="begin"/>
        <w:instrText xml:space="preserve">TOC \o "1-2" \h \z \u</w:instrText>
        <w:fldChar w:fldCharType="separate"/>
        <w:t>Haz clic con el botón derecho aquí y elige “Actualizar campo” para generar el índice.</w:t>
        <w:fldChar w:fldCharType="end"/>
      </w:r>
    </w:p>
    <w:p>
      <w:r>
        <w:br w:type="page"/>
      </w:r>
    </w:p>
    <w:p>
      <w:pPr>
        <w:pStyle w:val="Heading1"/>
        <w:spacing w:before="280" w:after="80"/>
      </w:pPr>
      <w:r>
        <w:rPr>
          <w:color w:val="0077CC"/>
        </w:rPr>
        <w:t>1. ¿Qué es AlgoTrader?</w:t>
      </w:r>
    </w:p>
    <w:p>
      <w:pPr>
        <w:spacing w:after="80"/>
      </w:pPr>
      <w:r>
        <w:rPr>
          <w:b w:val="0"/>
          <w:sz w:val="22"/>
        </w:rPr>
        <w:t>AlgoTrader es una aplicación de escritorio que utiliza Inteligencia Artificial para analizar acciones del mercado bursátil estadounidense y generar señales de compra o venta. No opera dinero real — utiliza el modo Paper Trading de Alpaca (dinero simulado) para que puedas aprender y experimentar sin riesgo.</w:t>
      </w:r>
    </w:p>
    <w:p>
      <w:pPr>
        <w:pStyle w:val="Heading1"/>
        <w:spacing w:before="280" w:after="80"/>
      </w:pPr>
      <w:r>
        <w:rPr>
          <w:color w:val="0077CC"/>
        </w:rPr>
        <w:t>2. Pestaña Inicio</w:t>
      </w:r>
    </w:p>
    <w:p>
      <w:pPr>
        <w:spacing w:after="80"/>
      </w:pPr>
      <w:r>
        <w:rPr>
          <w:b w:val="0"/>
          <w:sz w:val="22"/>
        </w:rPr>
        <w:t>La pestaña Inicio es la pantalla principal del dashboard. Muestra en un solo vistazo el estado de tu cuenta y las últimas señales de trading generadas por el sistema.</w:t>
      </w:r>
    </w:p>
    <w:p>
      <w:pPr>
        <w:pStyle w:val="Heading2"/>
        <w:spacing w:before="160" w:after="80"/>
      </w:pPr>
      <w:r>
        <w:rPr>
          <w:color w:val="0099FF"/>
        </w:rPr>
        <w:t>2.1  Tarjetas de resumen de cuenta</w:t>
      </w:r>
    </w:p>
    <w:p>
      <w:pPr>
        <w:spacing w:after="80"/>
      </w:pPr>
      <w:r>
        <w:rPr>
          <w:b w:val="0"/>
          <w:sz w:val="22"/>
        </w:rPr>
        <w:t>Las 4 tarjetas se actualizan automáticamente cada 30 segundos con datos en tiempo real de tu cuenta de simulación en Alpaca. Son:</w:t>
      </w:r>
    </w:p>
    <w:p>
      <w:pPr>
        <w:jc w:val="center"/>
      </w:pPr>
      <w:r>
        <w:drawing>
          <wp:inline xmlns:a="http://schemas.openxmlformats.org/drawingml/2006/main" xmlns:pic="http://schemas.openxmlformats.org/drawingml/2006/picture">
            <wp:extent cx="5760720" cy="433524"/>
            <wp:docPr id="1" name="Picture 1"/>
            <wp:cNvGraphicFramePr>
              <a:graphicFrameLocks noChangeAspect="1"/>
            </wp:cNvGraphicFramePr>
            <a:graphic>
              <a:graphicData uri="http://schemas.openxmlformats.org/drawingml/2006/picture">
                <pic:pic>
                  <pic:nvPicPr>
                    <pic:cNvPr id="0" name="inicio_kpis.png"/>
                    <pic:cNvPicPr/>
                  </pic:nvPicPr>
                  <pic:blipFill>
                    <a:blip r:embed="rId9"/>
                    <a:stretch>
                      <a:fillRect/>
                    </a:stretch>
                  </pic:blipFill>
                  <pic:spPr>
                    <a:xfrm>
                      <a:off x="0" y="0"/>
                      <a:ext cx="5760720" cy="433524"/>
                    </a:xfrm>
                    <a:prstGeom prst="rect"/>
                  </pic:spPr>
                </pic:pic>
              </a:graphicData>
            </a:graphic>
          </wp:inline>
        </w:drawing>
      </w:r>
    </w:p>
    <w:p>
      <w:pPr>
        <w:jc w:val="center"/>
      </w:pPr>
      <w:r>
        <w:rPr>
          <w:i/>
          <w:color w:val="444455"/>
          <w:sz w:val="18"/>
        </w:rPr>
        <w:t>Tarjetas de resumen de cuenta.</w:t>
      </w:r>
    </w:p>
    <w:p/>
    <w:p>
      <w:pPr>
        <w:spacing w:after="80"/>
        <w:ind w:left="340"/>
      </w:pPr>
      <w:r>
        <w:rPr>
          <w:sz w:val="22"/>
        </w:rPr>
        <w:t>• Valor de tu cartera: Total de tu cuenta en este momento: todo tu efectivo más el valor actual de las acciones que tienes compradas. Ejemplo: 5.000 $ en efectivo + acciones por valor de 3.000 $ = cartera de 8.000 $.</w:t>
      </w:r>
    </w:p>
    <w:p>
      <w:pPr>
        <w:spacing w:after="80"/>
        <w:ind w:left="340"/>
      </w:pPr>
      <w:r>
        <w:rPr>
          <w:sz w:val="22"/>
        </w:rPr>
        <w:t>• Efectivo disponible: Dinero en tu cuenta que no está invertido en ninguna acción. Es lo que puedes usar para comprar ahora mismo. Sube cuando vendes una acción y baja cuando compras una.</w:t>
      </w:r>
    </w:p>
    <w:p>
      <w:pPr>
        <w:spacing w:after="80"/>
        <w:ind w:left="340"/>
      </w:pPr>
      <w:r>
        <w:rPr>
          <w:sz w:val="22"/>
        </w:rPr>
        <w:t>• Capacidad de compra: Importe máximo que puedes gastar en este momento. En modo simulación el sistema te presta el doble de tu efectivo, por eso suele ser mayor que el efectivo disponible. Ejemplo: con 5.000 $ en efectivo, la capacidad de compra es 10.000 $.</w:t>
      </w:r>
    </w:p>
    <w:p>
      <w:pPr>
        <w:spacing w:after="80"/>
        <w:ind w:left="340"/>
      </w:pPr>
      <w:r>
        <w:rPr>
          <w:sz w:val="22"/>
        </w:rPr>
        <w:t>• Ganancia / Pérdida (7 días): Cuánto has ganado o perdido en los últimos 7 días comparando el valor de hoy con el de hace una semana. Verde con "+" = ganaste. Rojo con "−" = perdiste. Ejemplo: +127,50 $ (+1,32 %) significa que ganaste 127,50 dólares esta semana.</w:t>
      </w:r>
    </w:p>
    <w:p/>
    <w:p>
      <w:pPr>
        <w:spacing w:after="80"/>
      </w:pPr>
      <w:r>
        <w:rPr>
          <w:b/>
          <w:sz w:val="22"/>
        </w:rPr>
        <w:t>Cálculo de la Ganancia/Pérdida de 7 días:</w:t>
      </w:r>
    </w:p>
    <w:p>
      <w:pPr>
        <w:spacing w:after="80"/>
      </w:pPr>
      <w:r>
        <w:rPr>
          <w:b w:val="0"/>
          <w:sz w:val="22"/>
        </w:rPr>
        <w:t>Alpaca guarda el historial del valor de tu cartera día a día. Lo que hace el sistema es muy sencillo:</w:t>
      </w:r>
    </w:p>
    <w:p>
      <w:pPr>
        <w:pStyle w:val="ListNumber"/>
        <w:spacing w:after="40"/>
      </w:pPr>
      <w:r>
        <w:rPr>
          <w:sz w:val="22"/>
        </w:rPr>
        <w:t>Mira cuánto valía tu cartera hace exactamente 7 días</w:t>
      </w:r>
    </w:p>
    <w:p>
      <w:pPr>
        <w:pStyle w:val="ListNumber"/>
        <w:spacing w:after="40"/>
      </w:pPr>
      <w:r>
        <w:rPr>
          <w:sz w:val="22"/>
        </w:rPr>
        <w:t>Mira cuánto vale ahora mismo</w:t>
      </w:r>
    </w:p>
    <w:p>
      <w:pPr>
        <w:pStyle w:val="ListNumber"/>
        <w:spacing w:after="40"/>
      </w:pPr>
      <w:r>
        <w:rPr>
          <w:sz w:val="22"/>
        </w:rPr>
        <w:t>Resta uno del otro</w:t>
      </w:r>
    </w:p>
    <w:p/>
    <w:p>
      <w:pPr>
        <w:spacing w:after="80"/>
      </w:pPr>
      <w:r>
        <w:rPr>
          <w:b w:val="0"/>
          <w:sz w:val="22"/>
        </w:rPr>
        <w:t>Ejemplo: si hace 7 días tenías 10.000 $ y hoy tienes 10.127,50 $, el resultado es +127,50 $ (+1,32 %).</w:t>
      </w:r>
    </w:p>
    <w:p>
      <w:pPr>
        <w:spacing w:after="80"/>
      </w:pPr>
      <w:r>
        <w:rPr>
          <w:b w:val="0"/>
          <w:sz w:val="22"/>
        </w:rPr>
        <w:t>El porcentaje sale de dividir esa diferencia entre el valor de hace 7 días y multiplicar por 100.</w:t>
      </w:r>
    </w:p>
    <w:p>
      <w:pPr>
        <w:spacing w:after="80"/>
      </w:pPr>
      <w:r>
        <w:rPr>
          <w:b w:val="0"/>
          <w:sz w:val="22"/>
        </w:rPr>
        <w:t>Mide si tu cartera en conjunto ha crecido o encogido durante la última semana, contando tanto el efectivo que tienes sin invertir como el valor actual de las acciones que tienes compradas.</w:t>
      </w:r>
    </w:p>
    <w:p>
      <w:pPr>
        <w:pStyle w:val="Heading2"/>
        <w:spacing w:before="160" w:after="80"/>
      </w:pPr>
      <w:r>
        <w:rPr>
          <w:color w:val="0099FF"/>
        </w:rPr>
        <w:t>2.2  Tabla de señales</w:t>
      </w:r>
    </w:p>
    <w:p>
      <w:pPr>
        <w:spacing w:after="80"/>
      </w:pPr>
      <w:r>
        <w:rPr>
          <w:b w:val="0"/>
          <w:sz w:val="22"/>
        </w:rPr>
        <w:t>Muestra las señales del último análisis automático, que se ejecuta cada día laborable a las 14:45. Cada fila representa una acción del S&amp;P 100 analizada. Las columnas son:</w:t>
      </w:r>
    </w:p>
    <w:p>
      <w:pPr>
        <w:jc w:val="center"/>
      </w:pPr>
      <w:r>
        <w:drawing>
          <wp:inline xmlns:a="http://schemas.openxmlformats.org/drawingml/2006/main" xmlns:pic="http://schemas.openxmlformats.org/drawingml/2006/picture">
            <wp:extent cx="5760720" cy="2714970"/>
            <wp:docPr id="2" name="Picture 2"/>
            <wp:cNvGraphicFramePr>
              <a:graphicFrameLocks noChangeAspect="1"/>
            </wp:cNvGraphicFramePr>
            <a:graphic>
              <a:graphicData uri="http://schemas.openxmlformats.org/drawingml/2006/picture">
                <pic:pic>
                  <pic:nvPicPr>
                    <pic:cNvPr id="0" name="inicio_tabla.png"/>
                    <pic:cNvPicPr/>
                  </pic:nvPicPr>
                  <pic:blipFill>
                    <a:blip r:embed="rId10"/>
                    <a:stretch>
                      <a:fillRect/>
                    </a:stretch>
                  </pic:blipFill>
                  <pic:spPr>
                    <a:xfrm>
                      <a:off x="0" y="0"/>
                      <a:ext cx="5760720" cy="2714970"/>
                    </a:xfrm>
                    <a:prstGeom prst="rect"/>
                  </pic:spPr>
                </pic:pic>
              </a:graphicData>
            </a:graphic>
          </wp:inline>
        </w:drawing>
      </w:r>
    </w:p>
    <w:p>
      <w:pPr>
        <w:jc w:val="center"/>
      </w:pPr>
      <w:r>
        <w:rPr>
          <w:i/>
          <w:color w:val="444455"/>
          <w:sz w:val="18"/>
        </w:rPr>
        <w:t>Tabla de señales de la Pestaña Inicio.</w:t>
      </w:r>
    </w:p>
    <w:p/>
    <w:p>
      <w:pPr>
        <w:spacing w:after="80"/>
        <w:ind w:left="340"/>
      </w:pPr>
      <w:r>
        <w:rPr>
          <w:sz w:val="22"/>
        </w:rPr>
        <w:t>• Acción: El código de la empresa analizada (ticker). Ejemplo: AAPL = Apple, MSFT = Microsoft.</w:t>
      </w:r>
    </w:p>
    <w:p>
      <w:pPr>
        <w:spacing w:after="80"/>
        <w:ind w:left="340"/>
      </w:pPr>
      <w:r>
        <w:rPr>
          <w:sz w:val="22"/>
        </w:rPr>
        <w:t>• Señal: La recomendación del sistema. COMPRAR (verde) = el modelo predice subida. VENDER (rojo) = predice bajada. COMPRAR débil / VENDER débil (naranja) = predicción con poca confianza. NEUTRAL (gris) = sin tendencia clara.</w:t>
      </w:r>
    </w:p>
    <w:p>
      <w:pPr>
        <w:spacing w:after="80"/>
        <w:ind w:left="340"/>
      </w:pPr>
      <w:r>
        <w:rPr>
          <w:sz w:val="22"/>
        </w:rPr>
        <w:t>• Precio actual: Precio de la acción en el momento en que se realizó el análisis. No es el precio en tiempo real.</w:t>
      </w:r>
    </w:p>
    <w:p>
      <w:pPr>
        <w:spacing w:after="80"/>
        <w:ind w:left="340"/>
      </w:pPr>
      <w:r>
        <w:rPr>
          <w:sz w:val="22"/>
        </w:rPr>
        <w:t>• % predicción: Porcentaje de subida o bajada que el modelo predice para el siguiente día hábil. Positivo (+1,5 %) = se espera subida; negativo (−0,8 %) = se espera bajada.</w:t>
      </w:r>
    </w:p>
    <w:p>
      <w:pPr>
        <w:spacing w:after="80"/>
      </w:pPr>
      <w:r>
        <w:rPr>
          <w:b w:val="0"/>
          <w:sz w:val="22"/>
        </w:rPr>
        <w:t>Puedes filtrar la tabla haciendo clic en el icono de filtro que aparece al pasar el ratón sobre el nombre de cada columna. El botón Limpiar filtros elimina todos los filtros activos.</w:t>
      </w:r>
    </w:p>
    <w:p>
      <w:pPr>
        <w:pStyle w:val="Heading2"/>
        <w:spacing w:before="160" w:after="80"/>
      </w:pPr>
      <w:r>
        <w:rPr>
          <w:color w:val="0099FF"/>
        </w:rPr>
        <w:t>2.3  Distribución de señales</w:t>
      </w:r>
    </w:p>
    <w:p>
      <w:pPr>
        <w:spacing w:after="80"/>
      </w:pPr>
      <w:r>
        <w:rPr>
          <w:b w:val="0"/>
          <w:sz w:val="22"/>
        </w:rPr>
        <w:t>Gráfico de tarta que resume cuántas señales de cada tipo ha generado el último análisis. Permite ver de un vistazo si el sistema detecta más oportunidades de compra o de venta en ese momento.</w:t>
      </w:r>
    </w:p>
    <w:p>
      <w:pPr>
        <w:jc w:val="center"/>
      </w:pPr>
      <w:r>
        <w:drawing>
          <wp:inline xmlns:a="http://schemas.openxmlformats.org/drawingml/2006/main" xmlns:pic="http://schemas.openxmlformats.org/drawingml/2006/picture">
            <wp:extent cx="3657600" cy="1228693"/>
            <wp:docPr id="3" name="Picture 3"/>
            <wp:cNvGraphicFramePr>
              <a:graphicFrameLocks noChangeAspect="1"/>
            </wp:cNvGraphicFramePr>
            <a:graphic>
              <a:graphicData uri="http://schemas.openxmlformats.org/drawingml/2006/picture">
                <pic:pic>
                  <pic:nvPicPr>
                    <pic:cNvPr id="0" name="inicio_pie.png"/>
                    <pic:cNvPicPr/>
                  </pic:nvPicPr>
                  <pic:blipFill>
                    <a:blip r:embed="rId11"/>
                    <a:stretch>
                      <a:fillRect/>
                    </a:stretch>
                  </pic:blipFill>
                  <pic:spPr>
                    <a:xfrm>
                      <a:off x="0" y="0"/>
                      <a:ext cx="3657600" cy="1228693"/>
                    </a:xfrm>
                    <a:prstGeom prst="rect"/>
                  </pic:spPr>
                </pic:pic>
              </a:graphicData>
            </a:graphic>
          </wp:inline>
        </w:drawing>
      </w:r>
    </w:p>
    <w:p>
      <w:pPr>
        <w:jc w:val="center"/>
      </w:pPr>
      <w:r>
        <w:rPr>
          <w:i/>
          <w:color w:val="444455"/>
          <w:sz w:val="18"/>
        </w:rPr>
        <w:t>Distribución de señales.</w:t>
      </w:r>
    </w:p>
    <w:p/>
    <w:p>
      <w:pPr>
        <w:pStyle w:val="Heading2"/>
        <w:spacing w:before="160" w:after="80"/>
      </w:pPr>
      <w:r>
        <w:rPr>
          <w:color w:val="0099FF"/>
        </w:rPr>
        <w:t>2.4  Información del análisis</w:t>
      </w:r>
    </w:p>
    <w:p>
      <w:pPr>
        <w:spacing w:after="80"/>
      </w:pPr>
      <w:r>
        <w:rPr>
          <w:b w:val="0"/>
          <w:sz w:val="22"/>
        </w:rPr>
        <w:t>Fecha y hora del último análisis, número total de acciones analizadas, cuántas tienen señal de compra y cuántas de venta.</w:t>
      </w:r>
    </w:p>
    <w:tbl>
      <w:tblPr>
        <w:tblStyle w:val="TableGrid"/>
        <w:tblW w:type="auto" w:w="0"/>
        <w:tblLook w:firstColumn="1" w:firstRow="1" w:lastColumn="0" w:lastRow="0" w:noHBand="0" w:noVBand="1" w:val="04A0"/>
      </w:tblPr>
      <w:tblGrid>
        <w:gridCol w:w="9122"/>
      </w:tblGrid>
      <w:tr>
        <w:tc>
          <w:tcPr>
            <w:tcW w:type="dxa" w:w="9122"/>
            <w:shd w:val="clear" w:color="auto" w:fill="E8F0F8"/>
          </w:tcPr>
          <w:p>
            <w:r>
              <w:rPr>
                <w:b/>
                <w:color w:val="0077CC"/>
                <w:sz w:val="22"/>
              </w:rPr>
              <w:t xml:space="preserve">  Nota:</w:t>
            </w:r>
          </w:p>
          <w:p>
            <w:pPr>
              <w:ind w:left="283"/>
            </w:pPr>
            <w:r>
              <w:rPr>
                <w:sz w:val="20"/>
              </w:rPr>
              <w:t>• Los datos de las señales no se actualizan en tiempo real. Lo que ves corresponde al último análisis automático (el del día anterior si abres la aplicación por la mañana). Solo las 4 tarjetas superiores se actualizan en tiempo real conectándose a Alpaca.</w:t>
            </w:r>
          </w:p>
        </w:tc>
      </w:tr>
    </w:tbl>
    <w:p/>
    <w:p>
      <w:pPr>
        <w:pStyle w:val="Heading2"/>
        <w:spacing w:before="160" w:after="80"/>
      </w:pPr>
      <w:r>
        <w:rPr>
          <w:color w:val="0099FF"/>
        </w:rPr>
        <w:t>2.5  Referencia de tickers: empresas del S&amp;P 100</w:t>
      </w:r>
    </w:p>
    <w:p>
      <w:pPr>
        <w:spacing w:after="80"/>
      </w:pPr>
      <w:r>
        <w:rPr>
          <w:b w:val="0"/>
          <w:sz w:val="22"/>
        </w:rPr>
        <w:t>La siguiente tabla muestra a qué empresa corresponde cada código (ticker) que puede aparecer en la tabla de señales, junto con el sector al que pertenece.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152"/>
            <w:shd w:val="clear" w:color="auto" w:fill="0077CC"/>
          </w:tcPr>
          <w:p>
            <w:pPr>
              <w:jc w:val="center"/>
            </w:pPr>
            <w:r>
              <w:rPr>
                <w:b/>
                <w:color w:val="FFFFFF"/>
                <w:sz w:val="20"/>
              </w:rPr>
              <w:t>Ticker</w:t>
            </w:r>
          </w:p>
        </w:tc>
        <w:tc>
          <w:tcPr>
            <w:tcW w:type="dxa" w:w="3024"/>
            <w:shd w:val="clear" w:color="auto" w:fill="0077CC"/>
          </w:tcPr>
          <w:p>
            <w:pPr>
              <w:jc w:val="center"/>
            </w:pPr>
            <w:r>
              <w:rPr>
                <w:b/>
                <w:color w:val="FFFFFF"/>
                <w:sz w:val="20"/>
              </w:rPr>
              <w:t>Empresa</w:t>
            </w:r>
          </w:p>
        </w:tc>
        <w:tc>
          <w:tcPr>
            <w:tcW w:type="dxa" w:w="3024"/>
            <w:shd w:val="clear" w:color="auto" w:fill="0077CC"/>
          </w:tcPr>
          <w:p>
            <w:pPr>
              <w:jc w:val="center"/>
            </w:pPr>
            <w:r>
              <w:rPr>
                <w:b/>
                <w:color w:val="FFFFFF"/>
                <w:sz w:val="20"/>
              </w:rPr>
              <w:t>Sector</w:t>
            </w:r>
          </w:p>
        </w:tc>
        <w:tc>
          <w:tcPr>
            <w:tcW w:type="dxa" w:w="1440"/>
            <w:shd w:val="clear" w:color="auto" w:fill="0077CC"/>
          </w:tcPr>
          <w:p>
            <w:pPr>
              <w:jc w:val="center"/>
            </w:pPr>
            <w:r>
              <w:rPr>
                <w:b/>
                <w:color w:val="FFFFFF"/>
                <w:sz w:val="20"/>
              </w:rPr>
              <w:t>País</w:t>
            </w:r>
          </w:p>
        </w:tc>
      </w:tr>
      <w:tr>
        <w:tc>
          <w:tcPr>
            <w:tcW w:type="dxa" w:w="1152"/>
            <w:shd w:val="clear" w:color="auto" w:fill="F0F5FF"/>
          </w:tcPr>
          <w:p>
            <w:pPr>
              <w:jc w:val="center"/>
            </w:pPr>
            <w:r>
              <w:rPr>
                <w:b/>
                <w:sz w:val="20"/>
              </w:rPr>
              <w:t>AAPL</w:t>
            </w:r>
          </w:p>
        </w:tc>
        <w:tc>
          <w:tcPr>
            <w:tcW w:type="dxa" w:w="3024"/>
            <w:shd w:val="clear" w:color="auto" w:fill="F0F5FF"/>
          </w:tcPr>
          <w:p>
            <w:r>
              <w:rPr>
                <w:sz w:val="20"/>
              </w:rPr>
              <w:t>Apple</w:t>
            </w:r>
          </w:p>
        </w:tc>
        <w:tc>
          <w:tcPr>
            <w:tcW w:type="dxa" w:w="3024"/>
            <w:shd w:val="clear" w:color="auto" w:fill="F0F5FF"/>
          </w:tcPr>
          <w:p>
            <w:r>
              <w:rPr>
                <w:sz w:val="20"/>
              </w:rPr>
              <w:t>Tecnología</w:t>
            </w:r>
          </w:p>
        </w:tc>
        <w:tc>
          <w:tcPr>
            <w:tcW w:type="dxa" w:w="1440"/>
            <w:shd w:val="clear" w:color="auto" w:fill="F0F5FF"/>
          </w:tcPr>
          <w:p>
            <w:r>
              <w:rPr>
                <w:sz w:val="20"/>
              </w:rPr>
              <w:t>EE.UU.</w:t>
            </w:r>
          </w:p>
        </w:tc>
      </w:tr>
      <w:tr>
        <w:tc>
          <w:tcPr>
            <w:tcW w:type="dxa" w:w="1152"/>
            <w:shd w:val="clear" w:color="auto" w:fill="FFFFFF"/>
          </w:tcPr>
          <w:p>
            <w:pPr>
              <w:jc w:val="center"/>
            </w:pPr>
            <w:r>
              <w:rPr>
                <w:b/>
                <w:sz w:val="20"/>
              </w:rPr>
              <w:t>MSFT</w:t>
            </w:r>
          </w:p>
        </w:tc>
        <w:tc>
          <w:tcPr>
            <w:tcW w:type="dxa" w:w="3024"/>
            <w:shd w:val="clear" w:color="auto" w:fill="FFFFFF"/>
          </w:tcPr>
          <w:p>
            <w:r>
              <w:rPr>
                <w:sz w:val="20"/>
              </w:rPr>
              <w:t>Microsoft</w:t>
            </w:r>
          </w:p>
        </w:tc>
        <w:tc>
          <w:tcPr>
            <w:tcW w:type="dxa" w:w="3024"/>
            <w:shd w:val="clear" w:color="auto" w:fill="FFFFFF"/>
          </w:tcPr>
          <w:p>
            <w:r>
              <w:rPr>
                <w:sz w:val="20"/>
              </w:rPr>
              <w:t>Tecnología</w:t>
            </w:r>
          </w:p>
        </w:tc>
        <w:tc>
          <w:tcPr>
            <w:tcW w:type="dxa" w:w="1440"/>
            <w:shd w:val="clear" w:color="auto" w:fill="FFFFFF"/>
          </w:tcPr>
          <w:p>
            <w:r>
              <w:rPr>
                <w:sz w:val="20"/>
              </w:rPr>
              <w:t>EE.UU.</w:t>
            </w:r>
          </w:p>
        </w:tc>
      </w:tr>
      <w:tr>
        <w:tc>
          <w:tcPr>
            <w:tcW w:type="dxa" w:w="1152"/>
            <w:shd w:val="clear" w:color="auto" w:fill="F0F5FF"/>
          </w:tcPr>
          <w:p>
            <w:pPr>
              <w:jc w:val="center"/>
            </w:pPr>
            <w:r>
              <w:rPr>
                <w:b/>
                <w:sz w:val="20"/>
              </w:rPr>
              <w:t>NVDA</w:t>
            </w:r>
          </w:p>
        </w:tc>
        <w:tc>
          <w:tcPr>
            <w:tcW w:type="dxa" w:w="3024"/>
            <w:shd w:val="clear" w:color="auto" w:fill="F0F5FF"/>
          </w:tcPr>
          <w:p>
            <w:r>
              <w:rPr>
                <w:sz w:val="20"/>
              </w:rPr>
              <w:t>NVIDIA</w:t>
            </w:r>
          </w:p>
        </w:tc>
        <w:tc>
          <w:tcPr>
            <w:tcW w:type="dxa" w:w="3024"/>
            <w:shd w:val="clear" w:color="auto" w:fill="F0F5FF"/>
          </w:tcPr>
          <w:p>
            <w:r>
              <w:rPr>
                <w:sz w:val="20"/>
              </w:rPr>
              <w:t>Tecnología</w:t>
            </w:r>
          </w:p>
        </w:tc>
        <w:tc>
          <w:tcPr>
            <w:tcW w:type="dxa" w:w="1440"/>
            <w:shd w:val="clear" w:color="auto" w:fill="F0F5FF"/>
          </w:tcPr>
          <w:p>
            <w:r>
              <w:rPr>
                <w:sz w:val="20"/>
              </w:rPr>
              <w:t>EE.UU.</w:t>
            </w:r>
          </w:p>
        </w:tc>
      </w:tr>
      <w:tr>
        <w:tc>
          <w:tcPr>
            <w:tcW w:type="dxa" w:w="1152"/>
            <w:shd w:val="clear" w:color="auto" w:fill="FFFFFF"/>
          </w:tcPr>
          <w:p>
            <w:pPr>
              <w:jc w:val="center"/>
            </w:pPr>
            <w:r>
              <w:rPr>
                <w:b/>
                <w:sz w:val="20"/>
              </w:rPr>
              <w:t>AVGO</w:t>
            </w:r>
          </w:p>
        </w:tc>
        <w:tc>
          <w:tcPr>
            <w:tcW w:type="dxa" w:w="3024"/>
            <w:shd w:val="clear" w:color="auto" w:fill="FFFFFF"/>
          </w:tcPr>
          <w:p>
            <w:r>
              <w:rPr>
                <w:sz w:val="20"/>
              </w:rPr>
              <w:t>Broadcom</w:t>
            </w:r>
          </w:p>
        </w:tc>
        <w:tc>
          <w:tcPr>
            <w:tcW w:type="dxa" w:w="3024"/>
            <w:shd w:val="clear" w:color="auto" w:fill="FFFFFF"/>
          </w:tcPr>
          <w:p>
            <w:r>
              <w:rPr>
                <w:sz w:val="20"/>
              </w:rPr>
              <w:t>Tecnología</w:t>
            </w:r>
          </w:p>
        </w:tc>
        <w:tc>
          <w:tcPr>
            <w:tcW w:type="dxa" w:w="1440"/>
            <w:shd w:val="clear" w:color="auto" w:fill="FFFFFF"/>
          </w:tcPr>
          <w:p>
            <w:r>
              <w:rPr>
                <w:sz w:val="20"/>
              </w:rPr>
              <w:t>EE.UU.</w:t>
            </w:r>
          </w:p>
        </w:tc>
      </w:tr>
      <w:tr>
        <w:tc>
          <w:tcPr>
            <w:tcW w:type="dxa" w:w="1152"/>
            <w:shd w:val="clear" w:color="auto" w:fill="F0F5FF"/>
          </w:tcPr>
          <w:p>
            <w:pPr>
              <w:jc w:val="center"/>
            </w:pPr>
            <w:r>
              <w:rPr>
                <w:b/>
                <w:sz w:val="20"/>
              </w:rPr>
              <w:t>ORCL</w:t>
            </w:r>
          </w:p>
        </w:tc>
        <w:tc>
          <w:tcPr>
            <w:tcW w:type="dxa" w:w="3024"/>
            <w:shd w:val="clear" w:color="auto" w:fill="F0F5FF"/>
          </w:tcPr>
          <w:p>
            <w:r>
              <w:rPr>
                <w:sz w:val="20"/>
              </w:rPr>
              <w:t>Oracle</w:t>
            </w:r>
          </w:p>
        </w:tc>
        <w:tc>
          <w:tcPr>
            <w:tcW w:type="dxa" w:w="3024"/>
            <w:shd w:val="clear" w:color="auto" w:fill="F0F5FF"/>
          </w:tcPr>
          <w:p>
            <w:r>
              <w:rPr>
                <w:sz w:val="20"/>
              </w:rPr>
              <w:t>Tecnología</w:t>
            </w:r>
          </w:p>
        </w:tc>
        <w:tc>
          <w:tcPr>
            <w:tcW w:type="dxa" w:w="1440"/>
            <w:shd w:val="clear" w:color="auto" w:fill="F0F5FF"/>
          </w:tcPr>
          <w:p>
            <w:r>
              <w:rPr>
                <w:sz w:val="20"/>
              </w:rPr>
              <w:t>EE.UU.</w:t>
            </w:r>
          </w:p>
        </w:tc>
      </w:tr>
      <w:tr>
        <w:tc>
          <w:tcPr>
            <w:tcW w:type="dxa" w:w="1152"/>
            <w:shd w:val="clear" w:color="auto" w:fill="FFFFFF"/>
          </w:tcPr>
          <w:p>
            <w:pPr>
              <w:jc w:val="center"/>
            </w:pPr>
            <w:r>
              <w:rPr>
                <w:b/>
                <w:sz w:val="20"/>
              </w:rPr>
              <w:t>CSCO</w:t>
            </w:r>
          </w:p>
        </w:tc>
        <w:tc>
          <w:tcPr>
            <w:tcW w:type="dxa" w:w="3024"/>
            <w:shd w:val="clear" w:color="auto" w:fill="FFFFFF"/>
          </w:tcPr>
          <w:p>
            <w:r>
              <w:rPr>
                <w:sz w:val="20"/>
              </w:rPr>
              <w:t>Cisco Systems</w:t>
            </w:r>
          </w:p>
        </w:tc>
        <w:tc>
          <w:tcPr>
            <w:tcW w:type="dxa" w:w="3024"/>
            <w:shd w:val="clear" w:color="auto" w:fill="FFFFFF"/>
          </w:tcPr>
          <w:p>
            <w:r>
              <w:rPr>
                <w:sz w:val="20"/>
              </w:rPr>
              <w:t>Tecnología</w:t>
            </w:r>
          </w:p>
        </w:tc>
        <w:tc>
          <w:tcPr>
            <w:tcW w:type="dxa" w:w="1440"/>
            <w:shd w:val="clear" w:color="auto" w:fill="FFFFFF"/>
          </w:tcPr>
          <w:p>
            <w:r>
              <w:rPr>
                <w:sz w:val="20"/>
              </w:rPr>
              <w:t>EE.UU.</w:t>
            </w:r>
          </w:p>
        </w:tc>
      </w:tr>
      <w:tr>
        <w:tc>
          <w:tcPr>
            <w:tcW w:type="dxa" w:w="1152"/>
            <w:shd w:val="clear" w:color="auto" w:fill="F0F5FF"/>
          </w:tcPr>
          <w:p>
            <w:pPr>
              <w:jc w:val="center"/>
            </w:pPr>
            <w:r>
              <w:rPr>
                <w:b/>
                <w:sz w:val="20"/>
              </w:rPr>
              <w:t>IBM</w:t>
            </w:r>
          </w:p>
        </w:tc>
        <w:tc>
          <w:tcPr>
            <w:tcW w:type="dxa" w:w="3024"/>
            <w:shd w:val="clear" w:color="auto" w:fill="F0F5FF"/>
          </w:tcPr>
          <w:p>
            <w:r>
              <w:rPr>
                <w:sz w:val="20"/>
              </w:rPr>
              <w:t>IBM</w:t>
            </w:r>
          </w:p>
        </w:tc>
        <w:tc>
          <w:tcPr>
            <w:tcW w:type="dxa" w:w="3024"/>
            <w:shd w:val="clear" w:color="auto" w:fill="F0F5FF"/>
          </w:tcPr>
          <w:p>
            <w:r>
              <w:rPr>
                <w:sz w:val="20"/>
              </w:rPr>
              <w:t>Tecnología</w:t>
            </w:r>
          </w:p>
        </w:tc>
        <w:tc>
          <w:tcPr>
            <w:tcW w:type="dxa" w:w="1440"/>
            <w:shd w:val="clear" w:color="auto" w:fill="F0F5FF"/>
          </w:tcPr>
          <w:p>
            <w:r>
              <w:rPr>
                <w:sz w:val="20"/>
              </w:rPr>
              <w:t>EE.UU.</w:t>
            </w:r>
          </w:p>
        </w:tc>
      </w:tr>
      <w:tr>
        <w:tc>
          <w:tcPr>
            <w:tcW w:type="dxa" w:w="1152"/>
            <w:shd w:val="clear" w:color="auto" w:fill="FFFFFF"/>
          </w:tcPr>
          <w:p>
            <w:pPr>
              <w:jc w:val="center"/>
            </w:pPr>
            <w:r>
              <w:rPr>
                <w:b/>
                <w:sz w:val="20"/>
              </w:rPr>
              <w:t>INTC</w:t>
            </w:r>
          </w:p>
        </w:tc>
        <w:tc>
          <w:tcPr>
            <w:tcW w:type="dxa" w:w="3024"/>
            <w:shd w:val="clear" w:color="auto" w:fill="FFFFFF"/>
          </w:tcPr>
          <w:p>
            <w:r>
              <w:rPr>
                <w:sz w:val="20"/>
              </w:rPr>
              <w:t>Intel</w:t>
            </w:r>
          </w:p>
        </w:tc>
        <w:tc>
          <w:tcPr>
            <w:tcW w:type="dxa" w:w="3024"/>
            <w:shd w:val="clear" w:color="auto" w:fill="FFFFFF"/>
          </w:tcPr>
          <w:p>
            <w:r>
              <w:rPr>
                <w:sz w:val="20"/>
              </w:rPr>
              <w:t>Tecnología</w:t>
            </w:r>
          </w:p>
        </w:tc>
        <w:tc>
          <w:tcPr>
            <w:tcW w:type="dxa" w:w="1440"/>
            <w:shd w:val="clear" w:color="auto" w:fill="FFFFFF"/>
          </w:tcPr>
          <w:p>
            <w:r>
              <w:rPr>
                <w:sz w:val="20"/>
              </w:rPr>
              <w:t>EE.UU.</w:t>
            </w:r>
          </w:p>
        </w:tc>
      </w:tr>
      <w:tr>
        <w:tc>
          <w:tcPr>
            <w:tcW w:type="dxa" w:w="1152"/>
            <w:shd w:val="clear" w:color="auto" w:fill="F0F5FF"/>
          </w:tcPr>
          <w:p>
            <w:pPr>
              <w:jc w:val="center"/>
            </w:pPr>
            <w:r>
              <w:rPr>
                <w:b/>
                <w:sz w:val="20"/>
              </w:rPr>
              <w:t>TXN</w:t>
            </w:r>
          </w:p>
        </w:tc>
        <w:tc>
          <w:tcPr>
            <w:tcW w:type="dxa" w:w="3024"/>
            <w:shd w:val="clear" w:color="auto" w:fill="F0F5FF"/>
          </w:tcPr>
          <w:p>
            <w:r>
              <w:rPr>
                <w:sz w:val="20"/>
              </w:rPr>
              <w:t>Texas Instruments</w:t>
            </w:r>
          </w:p>
        </w:tc>
        <w:tc>
          <w:tcPr>
            <w:tcW w:type="dxa" w:w="3024"/>
            <w:shd w:val="clear" w:color="auto" w:fill="F0F5FF"/>
          </w:tcPr>
          <w:p>
            <w:r>
              <w:rPr>
                <w:sz w:val="20"/>
              </w:rPr>
              <w:t>Tecnología</w:t>
            </w:r>
          </w:p>
        </w:tc>
        <w:tc>
          <w:tcPr>
            <w:tcW w:type="dxa" w:w="1440"/>
            <w:shd w:val="clear" w:color="auto" w:fill="F0F5FF"/>
          </w:tcPr>
          <w:p>
            <w:r>
              <w:rPr>
                <w:sz w:val="20"/>
              </w:rPr>
              <w:t>EE.UU.</w:t>
            </w:r>
          </w:p>
        </w:tc>
      </w:tr>
      <w:tr>
        <w:tc>
          <w:tcPr>
            <w:tcW w:type="dxa" w:w="1152"/>
            <w:shd w:val="clear" w:color="auto" w:fill="FFFFFF"/>
          </w:tcPr>
          <w:p>
            <w:pPr>
              <w:jc w:val="center"/>
            </w:pPr>
            <w:r>
              <w:rPr>
                <w:b/>
                <w:sz w:val="20"/>
              </w:rPr>
              <w:t>QCOM</w:t>
            </w:r>
          </w:p>
        </w:tc>
        <w:tc>
          <w:tcPr>
            <w:tcW w:type="dxa" w:w="3024"/>
            <w:shd w:val="clear" w:color="auto" w:fill="FFFFFF"/>
          </w:tcPr>
          <w:p>
            <w:r>
              <w:rPr>
                <w:sz w:val="20"/>
              </w:rPr>
              <w:t>Qualcomm</w:t>
            </w:r>
          </w:p>
        </w:tc>
        <w:tc>
          <w:tcPr>
            <w:tcW w:type="dxa" w:w="3024"/>
            <w:shd w:val="clear" w:color="auto" w:fill="FFFFFF"/>
          </w:tcPr>
          <w:p>
            <w:r>
              <w:rPr>
                <w:sz w:val="20"/>
              </w:rPr>
              <w:t>Tecnología</w:t>
            </w:r>
          </w:p>
        </w:tc>
        <w:tc>
          <w:tcPr>
            <w:tcW w:type="dxa" w:w="1440"/>
            <w:shd w:val="clear" w:color="auto" w:fill="FFFFFF"/>
          </w:tcPr>
          <w:p>
            <w:r>
              <w:rPr>
                <w:sz w:val="20"/>
              </w:rPr>
              <w:t>EE.UU.</w:t>
            </w:r>
          </w:p>
        </w:tc>
      </w:tr>
      <w:tr>
        <w:tc>
          <w:tcPr>
            <w:tcW w:type="dxa" w:w="1152"/>
            <w:shd w:val="clear" w:color="auto" w:fill="F0F5FF"/>
          </w:tcPr>
          <w:p>
            <w:pPr>
              <w:jc w:val="center"/>
            </w:pPr>
            <w:r>
              <w:rPr>
                <w:b/>
                <w:sz w:val="20"/>
              </w:rPr>
              <w:t>ADI</w:t>
            </w:r>
          </w:p>
        </w:tc>
        <w:tc>
          <w:tcPr>
            <w:tcW w:type="dxa" w:w="3024"/>
            <w:shd w:val="clear" w:color="auto" w:fill="F0F5FF"/>
          </w:tcPr>
          <w:p>
            <w:r>
              <w:rPr>
                <w:sz w:val="20"/>
              </w:rPr>
              <w:t>Analog Devices</w:t>
            </w:r>
          </w:p>
        </w:tc>
        <w:tc>
          <w:tcPr>
            <w:tcW w:type="dxa" w:w="3024"/>
            <w:shd w:val="clear" w:color="auto" w:fill="F0F5FF"/>
          </w:tcPr>
          <w:p>
            <w:r>
              <w:rPr>
                <w:sz w:val="20"/>
              </w:rPr>
              <w:t>Tecnología</w:t>
            </w:r>
          </w:p>
        </w:tc>
        <w:tc>
          <w:tcPr>
            <w:tcW w:type="dxa" w:w="1440"/>
            <w:shd w:val="clear" w:color="auto" w:fill="F0F5FF"/>
          </w:tcPr>
          <w:p>
            <w:r>
              <w:rPr>
                <w:sz w:val="20"/>
              </w:rPr>
              <w:t>EE.UU.</w:t>
            </w:r>
          </w:p>
        </w:tc>
      </w:tr>
      <w:tr>
        <w:tc>
          <w:tcPr>
            <w:tcW w:type="dxa" w:w="1152"/>
            <w:shd w:val="clear" w:color="auto" w:fill="FFFFFF"/>
          </w:tcPr>
          <w:p>
            <w:pPr>
              <w:jc w:val="center"/>
            </w:pPr>
            <w:r>
              <w:rPr>
                <w:b/>
                <w:sz w:val="20"/>
              </w:rPr>
              <w:t>AMAT</w:t>
            </w:r>
          </w:p>
        </w:tc>
        <w:tc>
          <w:tcPr>
            <w:tcW w:type="dxa" w:w="3024"/>
            <w:shd w:val="clear" w:color="auto" w:fill="FFFFFF"/>
          </w:tcPr>
          <w:p>
            <w:r>
              <w:rPr>
                <w:sz w:val="20"/>
              </w:rPr>
              <w:t>Applied Materials</w:t>
            </w:r>
          </w:p>
        </w:tc>
        <w:tc>
          <w:tcPr>
            <w:tcW w:type="dxa" w:w="3024"/>
            <w:shd w:val="clear" w:color="auto" w:fill="FFFFFF"/>
          </w:tcPr>
          <w:p>
            <w:r>
              <w:rPr>
                <w:sz w:val="20"/>
              </w:rPr>
              <w:t>Tecnología</w:t>
            </w:r>
          </w:p>
        </w:tc>
        <w:tc>
          <w:tcPr>
            <w:tcW w:type="dxa" w:w="1440"/>
            <w:shd w:val="clear" w:color="auto" w:fill="FFFFFF"/>
          </w:tcPr>
          <w:p>
            <w:r>
              <w:rPr>
                <w:sz w:val="20"/>
              </w:rPr>
              <w:t>EE.UU.</w:t>
            </w:r>
          </w:p>
        </w:tc>
      </w:tr>
      <w:tr>
        <w:tc>
          <w:tcPr>
            <w:tcW w:type="dxa" w:w="1152"/>
            <w:shd w:val="clear" w:color="auto" w:fill="F0F5FF"/>
          </w:tcPr>
          <w:p>
            <w:pPr>
              <w:jc w:val="center"/>
            </w:pPr>
            <w:r>
              <w:rPr>
                <w:b/>
                <w:sz w:val="20"/>
              </w:rPr>
              <w:t>NOW</w:t>
            </w:r>
          </w:p>
        </w:tc>
        <w:tc>
          <w:tcPr>
            <w:tcW w:type="dxa" w:w="3024"/>
            <w:shd w:val="clear" w:color="auto" w:fill="F0F5FF"/>
          </w:tcPr>
          <w:p>
            <w:r>
              <w:rPr>
                <w:sz w:val="20"/>
              </w:rPr>
              <w:t>ServiceNow</w:t>
            </w:r>
          </w:p>
        </w:tc>
        <w:tc>
          <w:tcPr>
            <w:tcW w:type="dxa" w:w="3024"/>
            <w:shd w:val="clear" w:color="auto" w:fill="F0F5FF"/>
          </w:tcPr>
          <w:p>
            <w:r>
              <w:rPr>
                <w:sz w:val="20"/>
              </w:rPr>
              <w:t>Tecnología</w:t>
            </w:r>
          </w:p>
        </w:tc>
        <w:tc>
          <w:tcPr>
            <w:tcW w:type="dxa" w:w="1440"/>
            <w:shd w:val="clear" w:color="auto" w:fill="F0F5FF"/>
          </w:tcPr>
          <w:p>
            <w:r>
              <w:rPr>
                <w:sz w:val="20"/>
              </w:rPr>
              <w:t>EE.UU.</w:t>
            </w:r>
          </w:p>
        </w:tc>
      </w:tr>
      <w:tr>
        <w:tc>
          <w:tcPr>
            <w:tcW w:type="dxa" w:w="1152"/>
            <w:shd w:val="clear" w:color="auto" w:fill="FFFFFF"/>
          </w:tcPr>
          <w:p>
            <w:pPr>
              <w:jc w:val="center"/>
            </w:pPr>
            <w:r>
              <w:rPr>
                <w:b/>
                <w:sz w:val="20"/>
              </w:rPr>
              <w:t>ADBE</w:t>
            </w:r>
          </w:p>
        </w:tc>
        <w:tc>
          <w:tcPr>
            <w:tcW w:type="dxa" w:w="3024"/>
            <w:shd w:val="clear" w:color="auto" w:fill="FFFFFF"/>
          </w:tcPr>
          <w:p>
            <w:r>
              <w:rPr>
                <w:sz w:val="20"/>
              </w:rPr>
              <w:t>Adobe</w:t>
            </w:r>
          </w:p>
        </w:tc>
        <w:tc>
          <w:tcPr>
            <w:tcW w:type="dxa" w:w="3024"/>
            <w:shd w:val="clear" w:color="auto" w:fill="FFFFFF"/>
          </w:tcPr>
          <w:p>
            <w:r>
              <w:rPr>
                <w:sz w:val="20"/>
              </w:rPr>
              <w:t>Tecnología</w:t>
            </w:r>
          </w:p>
        </w:tc>
        <w:tc>
          <w:tcPr>
            <w:tcW w:type="dxa" w:w="1440"/>
            <w:shd w:val="clear" w:color="auto" w:fill="FFFFFF"/>
          </w:tcPr>
          <w:p>
            <w:r>
              <w:rPr>
                <w:sz w:val="20"/>
              </w:rPr>
              <w:t>EE.UU.</w:t>
            </w:r>
          </w:p>
        </w:tc>
      </w:tr>
      <w:tr>
        <w:tc>
          <w:tcPr>
            <w:tcW w:type="dxa" w:w="1152"/>
            <w:shd w:val="clear" w:color="auto" w:fill="F0F5FF"/>
          </w:tcPr>
          <w:p>
            <w:pPr>
              <w:jc w:val="center"/>
            </w:pPr>
            <w:r>
              <w:rPr>
                <w:b/>
                <w:sz w:val="20"/>
              </w:rPr>
              <w:t>CRM</w:t>
            </w:r>
          </w:p>
        </w:tc>
        <w:tc>
          <w:tcPr>
            <w:tcW w:type="dxa" w:w="3024"/>
            <w:shd w:val="clear" w:color="auto" w:fill="F0F5FF"/>
          </w:tcPr>
          <w:p>
            <w:r>
              <w:rPr>
                <w:sz w:val="20"/>
              </w:rPr>
              <w:t>Salesforce</w:t>
            </w:r>
          </w:p>
        </w:tc>
        <w:tc>
          <w:tcPr>
            <w:tcW w:type="dxa" w:w="3024"/>
            <w:shd w:val="clear" w:color="auto" w:fill="F0F5FF"/>
          </w:tcPr>
          <w:p>
            <w:r>
              <w:rPr>
                <w:sz w:val="20"/>
              </w:rPr>
              <w:t>Tecnología</w:t>
            </w:r>
          </w:p>
        </w:tc>
        <w:tc>
          <w:tcPr>
            <w:tcW w:type="dxa" w:w="1440"/>
            <w:shd w:val="clear" w:color="auto" w:fill="F0F5FF"/>
          </w:tcPr>
          <w:p>
            <w:r>
              <w:rPr>
                <w:sz w:val="20"/>
              </w:rPr>
              <w:t>EE.UU.</w:t>
            </w:r>
          </w:p>
        </w:tc>
      </w:tr>
      <w:tr>
        <w:tc>
          <w:tcPr>
            <w:tcW w:type="dxa" w:w="1152"/>
            <w:shd w:val="clear" w:color="auto" w:fill="FFFFFF"/>
          </w:tcPr>
          <w:p>
            <w:pPr>
              <w:jc w:val="center"/>
            </w:pPr>
            <w:r>
              <w:rPr>
                <w:b/>
                <w:sz w:val="20"/>
              </w:rPr>
              <w:t>INTU</w:t>
            </w:r>
          </w:p>
        </w:tc>
        <w:tc>
          <w:tcPr>
            <w:tcW w:type="dxa" w:w="3024"/>
            <w:shd w:val="clear" w:color="auto" w:fill="FFFFFF"/>
          </w:tcPr>
          <w:p>
            <w:r>
              <w:rPr>
                <w:sz w:val="20"/>
              </w:rPr>
              <w:t>Intuit</w:t>
            </w:r>
          </w:p>
        </w:tc>
        <w:tc>
          <w:tcPr>
            <w:tcW w:type="dxa" w:w="3024"/>
            <w:shd w:val="clear" w:color="auto" w:fill="FFFFFF"/>
          </w:tcPr>
          <w:p>
            <w:r>
              <w:rPr>
                <w:sz w:val="20"/>
              </w:rPr>
              <w:t>Tecnología</w:t>
            </w:r>
          </w:p>
        </w:tc>
        <w:tc>
          <w:tcPr>
            <w:tcW w:type="dxa" w:w="1440"/>
            <w:shd w:val="clear" w:color="auto" w:fill="FFFFFF"/>
          </w:tcPr>
          <w:p>
            <w:r>
              <w:rPr>
                <w:sz w:val="20"/>
              </w:rPr>
              <w:t>EE.UU.</w:t>
            </w:r>
          </w:p>
        </w:tc>
      </w:tr>
      <w:tr>
        <w:tc>
          <w:tcPr>
            <w:tcW w:type="dxa" w:w="1152"/>
            <w:shd w:val="clear" w:color="auto" w:fill="F0F5FF"/>
          </w:tcPr>
          <w:p>
            <w:pPr>
              <w:jc w:val="center"/>
            </w:pPr>
            <w:r>
              <w:rPr>
                <w:b/>
                <w:sz w:val="20"/>
              </w:rPr>
              <w:t>GOOGL</w:t>
            </w:r>
          </w:p>
        </w:tc>
        <w:tc>
          <w:tcPr>
            <w:tcW w:type="dxa" w:w="3024"/>
            <w:shd w:val="clear" w:color="auto" w:fill="F0F5FF"/>
          </w:tcPr>
          <w:p>
            <w:r>
              <w:rPr>
                <w:sz w:val="20"/>
              </w:rPr>
              <w:t>Alphabet (Google)</w:t>
            </w:r>
          </w:p>
        </w:tc>
        <w:tc>
          <w:tcPr>
            <w:tcW w:type="dxa" w:w="3024"/>
            <w:shd w:val="clear" w:color="auto" w:fill="F0F5FF"/>
          </w:tcPr>
          <w:p>
            <w:r>
              <w:rPr>
                <w:sz w:val="20"/>
              </w:rPr>
              <w:t>Comunicaciones</w:t>
            </w:r>
          </w:p>
        </w:tc>
        <w:tc>
          <w:tcPr>
            <w:tcW w:type="dxa" w:w="1440"/>
            <w:shd w:val="clear" w:color="auto" w:fill="F0F5FF"/>
          </w:tcPr>
          <w:p>
            <w:r>
              <w:rPr>
                <w:sz w:val="20"/>
              </w:rPr>
              <w:t>EE.UU.</w:t>
            </w:r>
          </w:p>
        </w:tc>
      </w:tr>
      <w:tr>
        <w:tc>
          <w:tcPr>
            <w:tcW w:type="dxa" w:w="1152"/>
            <w:shd w:val="clear" w:color="auto" w:fill="FFFFFF"/>
          </w:tcPr>
          <w:p>
            <w:pPr>
              <w:jc w:val="center"/>
            </w:pPr>
            <w:r>
              <w:rPr>
                <w:b/>
                <w:sz w:val="20"/>
              </w:rPr>
              <w:t>META</w:t>
            </w:r>
          </w:p>
        </w:tc>
        <w:tc>
          <w:tcPr>
            <w:tcW w:type="dxa" w:w="3024"/>
            <w:shd w:val="clear" w:color="auto" w:fill="FFFFFF"/>
          </w:tcPr>
          <w:p>
            <w:r>
              <w:rPr>
                <w:sz w:val="20"/>
              </w:rPr>
              <w:t>Meta Platforms</w:t>
            </w:r>
          </w:p>
        </w:tc>
        <w:tc>
          <w:tcPr>
            <w:tcW w:type="dxa" w:w="3024"/>
            <w:shd w:val="clear" w:color="auto" w:fill="FFFFFF"/>
          </w:tcPr>
          <w:p>
            <w:r>
              <w:rPr>
                <w:sz w:val="20"/>
              </w:rPr>
              <w:t>Comunicaciones</w:t>
            </w:r>
          </w:p>
        </w:tc>
        <w:tc>
          <w:tcPr>
            <w:tcW w:type="dxa" w:w="1440"/>
            <w:shd w:val="clear" w:color="auto" w:fill="FFFFFF"/>
          </w:tcPr>
          <w:p>
            <w:r>
              <w:rPr>
                <w:sz w:val="20"/>
              </w:rPr>
              <w:t>EE.UU.</w:t>
            </w:r>
          </w:p>
        </w:tc>
      </w:tr>
      <w:tr>
        <w:tc>
          <w:tcPr>
            <w:tcW w:type="dxa" w:w="1152"/>
            <w:shd w:val="clear" w:color="auto" w:fill="F0F5FF"/>
          </w:tcPr>
          <w:p>
            <w:pPr>
              <w:jc w:val="center"/>
            </w:pPr>
            <w:r>
              <w:rPr>
                <w:b/>
                <w:sz w:val="20"/>
              </w:rPr>
              <w:t>T</w:t>
            </w:r>
          </w:p>
        </w:tc>
        <w:tc>
          <w:tcPr>
            <w:tcW w:type="dxa" w:w="3024"/>
            <w:shd w:val="clear" w:color="auto" w:fill="F0F5FF"/>
          </w:tcPr>
          <w:p>
            <w:r>
              <w:rPr>
                <w:sz w:val="20"/>
              </w:rPr>
              <w:t>AT&amp;T</w:t>
            </w:r>
          </w:p>
        </w:tc>
        <w:tc>
          <w:tcPr>
            <w:tcW w:type="dxa" w:w="3024"/>
            <w:shd w:val="clear" w:color="auto" w:fill="F0F5FF"/>
          </w:tcPr>
          <w:p>
            <w:r>
              <w:rPr>
                <w:sz w:val="20"/>
              </w:rPr>
              <w:t>Telecomunicaciones</w:t>
            </w:r>
          </w:p>
        </w:tc>
        <w:tc>
          <w:tcPr>
            <w:tcW w:type="dxa" w:w="1440"/>
            <w:shd w:val="clear" w:color="auto" w:fill="F0F5FF"/>
          </w:tcPr>
          <w:p>
            <w:r>
              <w:rPr>
                <w:sz w:val="20"/>
              </w:rPr>
              <w:t>EE.UU.</w:t>
            </w:r>
          </w:p>
        </w:tc>
      </w:tr>
      <w:tr>
        <w:tc>
          <w:tcPr>
            <w:tcW w:type="dxa" w:w="1152"/>
            <w:shd w:val="clear" w:color="auto" w:fill="FFFFFF"/>
          </w:tcPr>
          <w:p>
            <w:pPr>
              <w:jc w:val="center"/>
            </w:pPr>
            <w:r>
              <w:rPr>
                <w:b/>
                <w:sz w:val="20"/>
              </w:rPr>
              <w:t>VZ</w:t>
            </w:r>
          </w:p>
        </w:tc>
        <w:tc>
          <w:tcPr>
            <w:tcW w:type="dxa" w:w="3024"/>
            <w:shd w:val="clear" w:color="auto" w:fill="FFFFFF"/>
          </w:tcPr>
          <w:p>
            <w:r>
              <w:rPr>
                <w:sz w:val="20"/>
              </w:rPr>
              <w:t>Verizon</w:t>
            </w:r>
          </w:p>
        </w:tc>
        <w:tc>
          <w:tcPr>
            <w:tcW w:type="dxa" w:w="3024"/>
            <w:shd w:val="clear" w:color="auto" w:fill="FFFFFF"/>
          </w:tcPr>
          <w:p>
            <w:r>
              <w:rPr>
                <w:sz w:val="20"/>
              </w:rPr>
              <w:t>Telecomunicaciones</w:t>
            </w:r>
          </w:p>
        </w:tc>
        <w:tc>
          <w:tcPr>
            <w:tcW w:type="dxa" w:w="1440"/>
            <w:shd w:val="clear" w:color="auto" w:fill="FFFFFF"/>
          </w:tcPr>
          <w:p>
            <w:r>
              <w:rPr>
                <w:sz w:val="20"/>
              </w:rPr>
              <w:t>EE.UU.</w:t>
            </w:r>
          </w:p>
        </w:tc>
      </w:tr>
      <w:tr>
        <w:tc>
          <w:tcPr>
            <w:tcW w:type="dxa" w:w="1152"/>
            <w:shd w:val="clear" w:color="auto" w:fill="F0F5FF"/>
          </w:tcPr>
          <w:p>
            <w:pPr>
              <w:jc w:val="center"/>
            </w:pPr>
            <w:r>
              <w:rPr>
                <w:b/>
                <w:sz w:val="20"/>
              </w:rPr>
              <w:t>AMZN</w:t>
            </w:r>
          </w:p>
        </w:tc>
        <w:tc>
          <w:tcPr>
            <w:tcW w:type="dxa" w:w="3024"/>
            <w:shd w:val="clear" w:color="auto" w:fill="F0F5FF"/>
          </w:tcPr>
          <w:p>
            <w:r>
              <w:rPr>
                <w:sz w:val="20"/>
              </w:rPr>
              <w:t>Amazon</w:t>
            </w:r>
          </w:p>
        </w:tc>
        <w:tc>
          <w:tcPr>
            <w:tcW w:type="dxa" w:w="3024"/>
            <w:shd w:val="clear" w:color="auto" w:fill="F0F5FF"/>
          </w:tcPr>
          <w:p>
            <w:r>
              <w:rPr>
                <w:sz w:val="20"/>
              </w:rPr>
              <w:t>Consumo disc. / Tecnol.</w:t>
            </w:r>
          </w:p>
        </w:tc>
        <w:tc>
          <w:tcPr>
            <w:tcW w:type="dxa" w:w="1440"/>
            <w:shd w:val="clear" w:color="auto" w:fill="F0F5FF"/>
          </w:tcPr>
          <w:p>
            <w:r>
              <w:rPr>
                <w:sz w:val="20"/>
              </w:rPr>
              <w:t>EE.UU.</w:t>
            </w:r>
          </w:p>
        </w:tc>
      </w:tr>
      <w:tr>
        <w:tc>
          <w:tcPr>
            <w:tcW w:type="dxa" w:w="1152"/>
            <w:shd w:val="clear" w:color="auto" w:fill="FFFFFF"/>
          </w:tcPr>
          <w:p>
            <w:pPr>
              <w:jc w:val="center"/>
            </w:pPr>
            <w:r>
              <w:rPr>
                <w:b/>
                <w:sz w:val="20"/>
              </w:rPr>
              <w:t>TSLA</w:t>
            </w:r>
          </w:p>
        </w:tc>
        <w:tc>
          <w:tcPr>
            <w:tcW w:type="dxa" w:w="3024"/>
            <w:shd w:val="clear" w:color="auto" w:fill="FFFFFF"/>
          </w:tcPr>
          <w:p>
            <w:r>
              <w:rPr>
                <w:sz w:val="20"/>
              </w:rPr>
              <w:t>Tesla</w:t>
            </w:r>
          </w:p>
        </w:tc>
        <w:tc>
          <w:tcPr>
            <w:tcW w:type="dxa" w:w="3024"/>
            <w:shd w:val="clear" w:color="auto" w:fill="FFFFFF"/>
          </w:tcPr>
          <w:p>
            <w:r>
              <w:rPr>
                <w:sz w:val="20"/>
              </w:rPr>
              <w:t>Automoción / Energía</w:t>
            </w:r>
          </w:p>
        </w:tc>
        <w:tc>
          <w:tcPr>
            <w:tcW w:type="dxa" w:w="1440"/>
            <w:shd w:val="clear" w:color="auto" w:fill="FFFFFF"/>
          </w:tcPr>
          <w:p>
            <w:r>
              <w:rPr>
                <w:sz w:val="20"/>
              </w:rPr>
              <w:t>EE.UU.</w:t>
            </w:r>
          </w:p>
        </w:tc>
      </w:tr>
      <w:tr>
        <w:tc>
          <w:tcPr>
            <w:tcW w:type="dxa" w:w="1152"/>
            <w:shd w:val="clear" w:color="auto" w:fill="F0F5FF"/>
          </w:tcPr>
          <w:p>
            <w:pPr>
              <w:jc w:val="center"/>
            </w:pPr>
            <w:r>
              <w:rPr>
                <w:b/>
                <w:sz w:val="20"/>
              </w:rPr>
              <w:t>MCD</w:t>
            </w:r>
          </w:p>
        </w:tc>
        <w:tc>
          <w:tcPr>
            <w:tcW w:type="dxa" w:w="3024"/>
            <w:shd w:val="clear" w:color="auto" w:fill="F0F5FF"/>
          </w:tcPr>
          <w:p>
            <w:r>
              <w:rPr>
                <w:sz w:val="20"/>
              </w:rPr>
              <w:t>McDonald's</w:t>
            </w:r>
          </w:p>
        </w:tc>
        <w:tc>
          <w:tcPr>
            <w:tcW w:type="dxa" w:w="3024"/>
            <w:shd w:val="clear" w:color="auto" w:fill="F0F5FF"/>
          </w:tcPr>
          <w:p>
            <w:r>
              <w:rPr>
                <w:sz w:val="20"/>
              </w:rPr>
              <w:t>Restauración</w:t>
            </w:r>
          </w:p>
        </w:tc>
        <w:tc>
          <w:tcPr>
            <w:tcW w:type="dxa" w:w="1440"/>
            <w:shd w:val="clear" w:color="auto" w:fill="F0F5FF"/>
          </w:tcPr>
          <w:p>
            <w:r>
              <w:rPr>
                <w:sz w:val="20"/>
              </w:rPr>
              <w:t>EE.UU.</w:t>
            </w:r>
          </w:p>
        </w:tc>
      </w:tr>
      <w:tr>
        <w:tc>
          <w:tcPr>
            <w:tcW w:type="dxa" w:w="1152"/>
            <w:shd w:val="clear" w:color="auto" w:fill="FFFFFF"/>
          </w:tcPr>
          <w:p>
            <w:pPr>
              <w:jc w:val="center"/>
            </w:pPr>
            <w:r>
              <w:rPr>
                <w:b/>
                <w:sz w:val="20"/>
              </w:rPr>
              <w:t>NKE</w:t>
            </w:r>
          </w:p>
        </w:tc>
        <w:tc>
          <w:tcPr>
            <w:tcW w:type="dxa" w:w="3024"/>
            <w:shd w:val="clear" w:color="auto" w:fill="FFFFFF"/>
          </w:tcPr>
          <w:p>
            <w:r>
              <w:rPr>
                <w:sz w:val="20"/>
              </w:rPr>
              <w:t>Nike</w:t>
            </w:r>
          </w:p>
        </w:tc>
        <w:tc>
          <w:tcPr>
            <w:tcW w:type="dxa" w:w="3024"/>
            <w:shd w:val="clear" w:color="auto" w:fill="FFFFFF"/>
          </w:tcPr>
          <w:p>
            <w:r>
              <w:rPr>
                <w:sz w:val="20"/>
              </w:rPr>
              <w:t>Ropa y calzado</w:t>
            </w:r>
          </w:p>
        </w:tc>
        <w:tc>
          <w:tcPr>
            <w:tcW w:type="dxa" w:w="1440"/>
            <w:shd w:val="clear" w:color="auto" w:fill="FFFFFF"/>
          </w:tcPr>
          <w:p>
            <w:r>
              <w:rPr>
                <w:sz w:val="20"/>
              </w:rPr>
              <w:t>EE.UU.</w:t>
            </w:r>
          </w:p>
        </w:tc>
      </w:tr>
      <w:tr>
        <w:tc>
          <w:tcPr>
            <w:tcW w:type="dxa" w:w="1152"/>
            <w:shd w:val="clear" w:color="auto" w:fill="F0F5FF"/>
          </w:tcPr>
          <w:p>
            <w:pPr>
              <w:jc w:val="center"/>
            </w:pPr>
            <w:r>
              <w:rPr>
                <w:b/>
                <w:sz w:val="20"/>
              </w:rPr>
              <w:t>LOW</w:t>
            </w:r>
          </w:p>
        </w:tc>
        <w:tc>
          <w:tcPr>
            <w:tcW w:type="dxa" w:w="3024"/>
            <w:shd w:val="clear" w:color="auto" w:fill="F0F5FF"/>
          </w:tcPr>
          <w:p>
            <w:r>
              <w:rPr>
                <w:sz w:val="20"/>
              </w:rPr>
              <w:t>Lowe's</w:t>
            </w:r>
          </w:p>
        </w:tc>
        <w:tc>
          <w:tcPr>
            <w:tcW w:type="dxa" w:w="3024"/>
            <w:shd w:val="clear" w:color="auto" w:fill="F0F5FF"/>
          </w:tcPr>
          <w:p>
            <w:r>
              <w:rPr>
                <w:sz w:val="20"/>
              </w:rPr>
              <w:t>Mejoras del hogar</w:t>
            </w:r>
          </w:p>
        </w:tc>
        <w:tc>
          <w:tcPr>
            <w:tcW w:type="dxa" w:w="1440"/>
            <w:shd w:val="clear" w:color="auto" w:fill="F0F5FF"/>
          </w:tcPr>
          <w:p>
            <w:r>
              <w:rPr>
                <w:sz w:val="20"/>
              </w:rPr>
              <w:t>EE.UU.</w:t>
            </w:r>
          </w:p>
        </w:tc>
      </w:tr>
      <w:tr>
        <w:tc>
          <w:tcPr>
            <w:tcW w:type="dxa" w:w="1152"/>
            <w:shd w:val="clear" w:color="auto" w:fill="FFFFFF"/>
          </w:tcPr>
          <w:p>
            <w:pPr>
              <w:jc w:val="center"/>
            </w:pPr>
            <w:r>
              <w:rPr>
                <w:b/>
                <w:sz w:val="20"/>
              </w:rPr>
              <w:t>HD</w:t>
            </w:r>
          </w:p>
        </w:tc>
        <w:tc>
          <w:tcPr>
            <w:tcW w:type="dxa" w:w="3024"/>
            <w:shd w:val="clear" w:color="auto" w:fill="FFFFFF"/>
          </w:tcPr>
          <w:p>
            <w:r>
              <w:rPr>
                <w:sz w:val="20"/>
              </w:rPr>
              <w:t>Home Depot</w:t>
            </w:r>
          </w:p>
        </w:tc>
        <w:tc>
          <w:tcPr>
            <w:tcW w:type="dxa" w:w="3024"/>
            <w:shd w:val="clear" w:color="auto" w:fill="FFFFFF"/>
          </w:tcPr>
          <w:p>
            <w:r>
              <w:rPr>
                <w:sz w:val="20"/>
              </w:rPr>
              <w:t>Mejoras del hogar</w:t>
            </w:r>
          </w:p>
        </w:tc>
        <w:tc>
          <w:tcPr>
            <w:tcW w:type="dxa" w:w="1440"/>
            <w:shd w:val="clear" w:color="auto" w:fill="FFFFFF"/>
          </w:tcPr>
          <w:p>
            <w:r>
              <w:rPr>
                <w:sz w:val="20"/>
              </w:rPr>
              <w:t>EE.UU.</w:t>
            </w:r>
          </w:p>
        </w:tc>
      </w:tr>
      <w:tr>
        <w:tc>
          <w:tcPr>
            <w:tcW w:type="dxa" w:w="1152"/>
            <w:shd w:val="clear" w:color="auto" w:fill="F0F5FF"/>
          </w:tcPr>
          <w:p>
            <w:pPr>
              <w:jc w:val="center"/>
            </w:pPr>
            <w:r>
              <w:rPr>
                <w:b/>
                <w:sz w:val="20"/>
              </w:rPr>
              <w:t>SBUX</w:t>
            </w:r>
          </w:p>
        </w:tc>
        <w:tc>
          <w:tcPr>
            <w:tcW w:type="dxa" w:w="3024"/>
            <w:shd w:val="clear" w:color="auto" w:fill="F0F5FF"/>
          </w:tcPr>
          <w:p>
            <w:r>
              <w:rPr>
                <w:sz w:val="20"/>
              </w:rPr>
              <w:t>Starbucks</w:t>
            </w:r>
          </w:p>
        </w:tc>
        <w:tc>
          <w:tcPr>
            <w:tcW w:type="dxa" w:w="3024"/>
            <w:shd w:val="clear" w:color="auto" w:fill="F0F5FF"/>
          </w:tcPr>
          <w:p>
            <w:r>
              <w:rPr>
                <w:sz w:val="20"/>
              </w:rPr>
              <w:t>Restauración</w:t>
            </w:r>
          </w:p>
        </w:tc>
        <w:tc>
          <w:tcPr>
            <w:tcW w:type="dxa" w:w="1440"/>
            <w:shd w:val="clear" w:color="auto" w:fill="F0F5FF"/>
          </w:tcPr>
          <w:p>
            <w:r>
              <w:rPr>
                <w:sz w:val="20"/>
              </w:rPr>
              <w:t>EE.UU.</w:t>
            </w:r>
          </w:p>
        </w:tc>
      </w:tr>
      <w:tr>
        <w:tc>
          <w:tcPr>
            <w:tcW w:type="dxa" w:w="1152"/>
            <w:shd w:val="clear" w:color="auto" w:fill="FFFFFF"/>
          </w:tcPr>
          <w:p>
            <w:pPr>
              <w:jc w:val="center"/>
            </w:pPr>
            <w:r>
              <w:rPr>
                <w:b/>
                <w:sz w:val="20"/>
              </w:rPr>
              <w:t>TGT</w:t>
            </w:r>
          </w:p>
        </w:tc>
        <w:tc>
          <w:tcPr>
            <w:tcW w:type="dxa" w:w="3024"/>
            <w:shd w:val="clear" w:color="auto" w:fill="FFFFFF"/>
          </w:tcPr>
          <w:p>
            <w:r>
              <w:rPr>
                <w:sz w:val="20"/>
              </w:rPr>
              <w:t>Target</w:t>
            </w:r>
          </w:p>
        </w:tc>
        <w:tc>
          <w:tcPr>
            <w:tcW w:type="dxa" w:w="3024"/>
            <w:shd w:val="clear" w:color="auto" w:fill="FFFFFF"/>
          </w:tcPr>
          <w:p>
            <w:r>
              <w:rPr>
                <w:sz w:val="20"/>
              </w:rPr>
              <w:t>Comercio minorista</w:t>
            </w:r>
          </w:p>
        </w:tc>
        <w:tc>
          <w:tcPr>
            <w:tcW w:type="dxa" w:w="1440"/>
            <w:shd w:val="clear" w:color="auto" w:fill="FFFFFF"/>
          </w:tcPr>
          <w:p>
            <w:r>
              <w:rPr>
                <w:sz w:val="20"/>
              </w:rPr>
              <w:t>EE.UU.</w:t>
            </w:r>
          </w:p>
        </w:tc>
      </w:tr>
      <w:tr>
        <w:tc>
          <w:tcPr>
            <w:tcW w:type="dxa" w:w="1152"/>
            <w:shd w:val="clear" w:color="auto" w:fill="F0F5FF"/>
          </w:tcPr>
          <w:p>
            <w:pPr>
              <w:jc w:val="center"/>
            </w:pPr>
            <w:r>
              <w:rPr>
                <w:b/>
                <w:sz w:val="20"/>
              </w:rPr>
              <w:t>BKNG</w:t>
            </w:r>
          </w:p>
        </w:tc>
        <w:tc>
          <w:tcPr>
            <w:tcW w:type="dxa" w:w="3024"/>
            <w:shd w:val="clear" w:color="auto" w:fill="F0F5FF"/>
          </w:tcPr>
          <w:p>
            <w:r>
              <w:rPr>
                <w:sz w:val="20"/>
              </w:rPr>
              <w:t>Booking Holdings</w:t>
            </w:r>
          </w:p>
        </w:tc>
        <w:tc>
          <w:tcPr>
            <w:tcW w:type="dxa" w:w="3024"/>
            <w:shd w:val="clear" w:color="auto" w:fill="F0F5FF"/>
          </w:tcPr>
          <w:p>
            <w:r>
              <w:rPr>
                <w:sz w:val="20"/>
              </w:rPr>
              <w:t>Viajes online</w:t>
            </w:r>
          </w:p>
        </w:tc>
        <w:tc>
          <w:tcPr>
            <w:tcW w:type="dxa" w:w="1440"/>
            <w:shd w:val="clear" w:color="auto" w:fill="F0F5FF"/>
          </w:tcPr>
          <w:p>
            <w:r>
              <w:rPr>
                <w:sz w:val="20"/>
              </w:rPr>
              <w:t>EE.UU.</w:t>
            </w:r>
          </w:p>
        </w:tc>
      </w:tr>
      <w:tr>
        <w:tc>
          <w:tcPr>
            <w:tcW w:type="dxa" w:w="1152"/>
            <w:shd w:val="clear" w:color="auto" w:fill="FFFFFF"/>
          </w:tcPr>
          <w:p>
            <w:pPr>
              <w:jc w:val="center"/>
            </w:pPr>
            <w:r>
              <w:rPr>
                <w:b/>
                <w:sz w:val="20"/>
              </w:rPr>
              <w:t>PG</w:t>
            </w:r>
          </w:p>
        </w:tc>
        <w:tc>
          <w:tcPr>
            <w:tcW w:type="dxa" w:w="3024"/>
            <w:shd w:val="clear" w:color="auto" w:fill="FFFFFF"/>
          </w:tcPr>
          <w:p>
            <w:r>
              <w:rPr>
                <w:sz w:val="20"/>
              </w:rPr>
              <w:t>Procter &amp; Gamble</w:t>
            </w:r>
          </w:p>
        </w:tc>
        <w:tc>
          <w:tcPr>
            <w:tcW w:type="dxa" w:w="3024"/>
            <w:shd w:val="clear" w:color="auto" w:fill="FFFFFF"/>
          </w:tcPr>
          <w:p>
            <w:r>
              <w:rPr>
                <w:sz w:val="20"/>
              </w:rPr>
              <w:t>Consumo básico</w:t>
            </w:r>
          </w:p>
        </w:tc>
        <w:tc>
          <w:tcPr>
            <w:tcW w:type="dxa" w:w="1440"/>
            <w:shd w:val="clear" w:color="auto" w:fill="FFFFFF"/>
          </w:tcPr>
          <w:p>
            <w:r>
              <w:rPr>
                <w:sz w:val="20"/>
              </w:rPr>
              <w:t>EE.UU.</w:t>
            </w:r>
          </w:p>
        </w:tc>
      </w:tr>
      <w:tr>
        <w:tc>
          <w:tcPr>
            <w:tcW w:type="dxa" w:w="1152"/>
            <w:shd w:val="clear" w:color="auto" w:fill="F0F5FF"/>
          </w:tcPr>
          <w:p>
            <w:pPr>
              <w:jc w:val="center"/>
            </w:pPr>
            <w:r>
              <w:rPr>
                <w:b/>
                <w:sz w:val="20"/>
              </w:rPr>
              <w:t>KO</w:t>
            </w:r>
          </w:p>
        </w:tc>
        <w:tc>
          <w:tcPr>
            <w:tcW w:type="dxa" w:w="3024"/>
            <w:shd w:val="clear" w:color="auto" w:fill="F0F5FF"/>
          </w:tcPr>
          <w:p>
            <w:r>
              <w:rPr>
                <w:sz w:val="20"/>
              </w:rPr>
              <w:t>Coca-Cola</w:t>
            </w:r>
          </w:p>
        </w:tc>
        <w:tc>
          <w:tcPr>
            <w:tcW w:type="dxa" w:w="3024"/>
            <w:shd w:val="clear" w:color="auto" w:fill="F0F5FF"/>
          </w:tcPr>
          <w:p>
            <w:r>
              <w:rPr>
                <w:sz w:val="20"/>
              </w:rPr>
              <w:t>Bebidas</w:t>
            </w:r>
          </w:p>
        </w:tc>
        <w:tc>
          <w:tcPr>
            <w:tcW w:type="dxa" w:w="1440"/>
            <w:shd w:val="clear" w:color="auto" w:fill="F0F5FF"/>
          </w:tcPr>
          <w:p>
            <w:r>
              <w:rPr>
                <w:sz w:val="20"/>
              </w:rPr>
              <w:t>EE.UU.</w:t>
            </w:r>
          </w:p>
        </w:tc>
      </w:tr>
      <w:tr>
        <w:tc>
          <w:tcPr>
            <w:tcW w:type="dxa" w:w="1152"/>
            <w:shd w:val="clear" w:color="auto" w:fill="FFFFFF"/>
          </w:tcPr>
          <w:p>
            <w:pPr>
              <w:jc w:val="center"/>
            </w:pPr>
            <w:r>
              <w:rPr>
                <w:b/>
                <w:sz w:val="20"/>
              </w:rPr>
              <w:t>PEP</w:t>
            </w:r>
          </w:p>
        </w:tc>
        <w:tc>
          <w:tcPr>
            <w:tcW w:type="dxa" w:w="3024"/>
            <w:shd w:val="clear" w:color="auto" w:fill="FFFFFF"/>
          </w:tcPr>
          <w:p>
            <w:r>
              <w:rPr>
                <w:sz w:val="20"/>
              </w:rPr>
              <w:t>PepsiCo</w:t>
            </w:r>
          </w:p>
        </w:tc>
        <w:tc>
          <w:tcPr>
            <w:tcW w:type="dxa" w:w="3024"/>
            <w:shd w:val="clear" w:color="auto" w:fill="FFFFFF"/>
          </w:tcPr>
          <w:p>
            <w:r>
              <w:rPr>
                <w:sz w:val="20"/>
              </w:rPr>
              <w:t>Bebidas / Snacks</w:t>
            </w:r>
          </w:p>
        </w:tc>
        <w:tc>
          <w:tcPr>
            <w:tcW w:type="dxa" w:w="1440"/>
            <w:shd w:val="clear" w:color="auto" w:fill="FFFFFF"/>
          </w:tcPr>
          <w:p>
            <w:r>
              <w:rPr>
                <w:sz w:val="20"/>
              </w:rPr>
              <w:t>EE.UU.</w:t>
            </w:r>
          </w:p>
        </w:tc>
      </w:tr>
      <w:tr>
        <w:tc>
          <w:tcPr>
            <w:tcW w:type="dxa" w:w="1152"/>
            <w:shd w:val="clear" w:color="auto" w:fill="F0F5FF"/>
          </w:tcPr>
          <w:p>
            <w:pPr>
              <w:jc w:val="center"/>
            </w:pPr>
            <w:r>
              <w:rPr>
                <w:b/>
                <w:sz w:val="20"/>
              </w:rPr>
              <w:t>WMT</w:t>
            </w:r>
          </w:p>
        </w:tc>
        <w:tc>
          <w:tcPr>
            <w:tcW w:type="dxa" w:w="3024"/>
            <w:shd w:val="clear" w:color="auto" w:fill="F0F5FF"/>
          </w:tcPr>
          <w:p>
            <w:r>
              <w:rPr>
                <w:sz w:val="20"/>
              </w:rPr>
              <w:t>Walmart</w:t>
            </w:r>
          </w:p>
        </w:tc>
        <w:tc>
          <w:tcPr>
            <w:tcW w:type="dxa" w:w="3024"/>
            <w:shd w:val="clear" w:color="auto" w:fill="F0F5FF"/>
          </w:tcPr>
          <w:p>
            <w:r>
              <w:rPr>
                <w:sz w:val="20"/>
              </w:rPr>
              <w:t>Comercio minorista</w:t>
            </w:r>
          </w:p>
        </w:tc>
        <w:tc>
          <w:tcPr>
            <w:tcW w:type="dxa" w:w="1440"/>
            <w:shd w:val="clear" w:color="auto" w:fill="F0F5FF"/>
          </w:tcPr>
          <w:p>
            <w:r>
              <w:rPr>
                <w:sz w:val="20"/>
              </w:rPr>
              <w:t>EE.UU.</w:t>
            </w:r>
          </w:p>
        </w:tc>
      </w:tr>
      <w:tr>
        <w:tc>
          <w:tcPr>
            <w:tcW w:type="dxa" w:w="1152"/>
            <w:shd w:val="clear" w:color="auto" w:fill="FFFFFF"/>
          </w:tcPr>
          <w:p>
            <w:pPr>
              <w:jc w:val="center"/>
            </w:pPr>
            <w:r>
              <w:rPr>
                <w:b/>
                <w:sz w:val="20"/>
              </w:rPr>
              <w:t>COST</w:t>
            </w:r>
          </w:p>
        </w:tc>
        <w:tc>
          <w:tcPr>
            <w:tcW w:type="dxa" w:w="3024"/>
            <w:shd w:val="clear" w:color="auto" w:fill="FFFFFF"/>
          </w:tcPr>
          <w:p>
            <w:r>
              <w:rPr>
                <w:sz w:val="20"/>
              </w:rPr>
              <w:t>Costco</w:t>
            </w:r>
          </w:p>
        </w:tc>
        <w:tc>
          <w:tcPr>
            <w:tcW w:type="dxa" w:w="3024"/>
            <w:shd w:val="clear" w:color="auto" w:fill="FFFFFF"/>
          </w:tcPr>
          <w:p>
            <w:r>
              <w:rPr>
                <w:sz w:val="20"/>
              </w:rPr>
              <w:t>Comercio minorista</w:t>
            </w:r>
          </w:p>
        </w:tc>
        <w:tc>
          <w:tcPr>
            <w:tcW w:type="dxa" w:w="1440"/>
            <w:shd w:val="clear" w:color="auto" w:fill="FFFFFF"/>
          </w:tcPr>
          <w:p>
            <w:r>
              <w:rPr>
                <w:sz w:val="20"/>
              </w:rPr>
              <w:t>EE.UU.</w:t>
            </w:r>
          </w:p>
        </w:tc>
      </w:tr>
      <w:tr>
        <w:tc>
          <w:tcPr>
            <w:tcW w:type="dxa" w:w="1152"/>
            <w:shd w:val="clear" w:color="auto" w:fill="F0F5FF"/>
          </w:tcPr>
          <w:p>
            <w:pPr>
              <w:jc w:val="center"/>
            </w:pPr>
            <w:r>
              <w:rPr>
                <w:b/>
                <w:sz w:val="20"/>
              </w:rPr>
              <w:t>PM</w:t>
            </w:r>
          </w:p>
        </w:tc>
        <w:tc>
          <w:tcPr>
            <w:tcW w:type="dxa" w:w="3024"/>
            <w:shd w:val="clear" w:color="auto" w:fill="F0F5FF"/>
          </w:tcPr>
          <w:p>
            <w:r>
              <w:rPr>
                <w:sz w:val="20"/>
              </w:rPr>
              <w:t>Philip Morris</w:t>
            </w:r>
          </w:p>
        </w:tc>
        <w:tc>
          <w:tcPr>
            <w:tcW w:type="dxa" w:w="3024"/>
            <w:shd w:val="clear" w:color="auto" w:fill="F0F5FF"/>
          </w:tcPr>
          <w:p>
            <w:r>
              <w:rPr>
                <w:sz w:val="20"/>
              </w:rPr>
              <w:t>Tabaco</w:t>
            </w:r>
          </w:p>
        </w:tc>
        <w:tc>
          <w:tcPr>
            <w:tcW w:type="dxa" w:w="1440"/>
            <w:shd w:val="clear" w:color="auto" w:fill="F0F5FF"/>
          </w:tcPr>
          <w:p>
            <w:r>
              <w:rPr>
                <w:sz w:val="20"/>
              </w:rPr>
              <w:t>EE.UU.</w:t>
            </w:r>
          </w:p>
        </w:tc>
      </w:tr>
      <w:tr>
        <w:tc>
          <w:tcPr>
            <w:tcW w:type="dxa" w:w="1152"/>
            <w:shd w:val="clear" w:color="auto" w:fill="FFFFFF"/>
          </w:tcPr>
          <w:p>
            <w:pPr>
              <w:jc w:val="center"/>
            </w:pPr>
            <w:r>
              <w:rPr>
                <w:b/>
                <w:sz w:val="20"/>
              </w:rPr>
              <w:t>MO</w:t>
            </w:r>
          </w:p>
        </w:tc>
        <w:tc>
          <w:tcPr>
            <w:tcW w:type="dxa" w:w="3024"/>
            <w:shd w:val="clear" w:color="auto" w:fill="FFFFFF"/>
          </w:tcPr>
          <w:p>
            <w:r>
              <w:rPr>
                <w:sz w:val="20"/>
              </w:rPr>
              <w:t>Altria Group</w:t>
            </w:r>
          </w:p>
        </w:tc>
        <w:tc>
          <w:tcPr>
            <w:tcW w:type="dxa" w:w="3024"/>
            <w:shd w:val="clear" w:color="auto" w:fill="FFFFFF"/>
          </w:tcPr>
          <w:p>
            <w:r>
              <w:rPr>
                <w:sz w:val="20"/>
              </w:rPr>
              <w:t>Tabaco</w:t>
            </w:r>
          </w:p>
        </w:tc>
        <w:tc>
          <w:tcPr>
            <w:tcW w:type="dxa" w:w="1440"/>
            <w:shd w:val="clear" w:color="auto" w:fill="FFFFFF"/>
          </w:tcPr>
          <w:p>
            <w:r>
              <w:rPr>
                <w:sz w:val="20"/>
              </w:rPr>
              <w:t>EE.UU.</w:t>
            </w:r>
          </w:p>
        </w:tc>
      </w:tr>
      <w:tr>
        <w:tc>
          <w:tcPr>
            <w:tcW w:type="dxa" w:w="1152"/>
            <w:shd w:val="clear" w:color="auto" w:fill="F0F5FF"/>
          </w:tcPr>
          <w:p>
            <w:pPr>
              <w:jc w:val="center"/>
            </w:pPr>
            <w:r>
              <w:rPr>
                <w:b/>
                <w:sz w:val="20"/>
              </w:rPr>
              <w:t>MDLZ</w:t>
            </w:r>
          </w:p>
        </w:tc>
        <w:tc>
          <w:tcPr>
            <w:tcW w:type="dxa" w:w="3024"/>
            <w:shd w:val="clear" w:color="auto" w:fill="F0F5FF"/>
          </w:tcPr>
          <w:p>
            <w:r>
              <w:rPr>
                <w:sz w:val="20"/>
              </w:rPr>
              <w:t>Mondelez International</w:t>
            </w:r>
          </w:p>
        </w:tc>
        <w:tc>
          <w:tcPr>
            <w:tcW w:type="dxa" w:w="3024"/>
            <w:shd w:val="clear" w:color="auto" w:fill="F0F5FF"/>
          </w:tcPr>
          <w:p>
            <w:r>
              <w:rPr>
                <w:sz w:val="20"/>
              </w:rPr>
              <w:t>Alimentación</w:t>
            </w:r>
          </w:p>
        </w:tc>
        <w:tc>
          <w:tcPr>
            <w:tcW w:type="dxa" w:w="1440"/>
            <w:shd w:val="clear" w:color="auto" w:fill="F0F5FF"/>
          </w:tcPr>
          <w:p>
            <w:r>
              <w:rPr>
                <w:sz w:val="20"/>
              </w:rPr>
              <w:t>EE.UU.</w:t>
            </w:r>
          </w:p>
        </w:tc>
      </w:tr>
      <w:tr>
        <w:tc>
          <w:tcPr>
            <w:tcW w:type="dxa" w:w="1152"/>
            <w:shd w:val="clear" w:color="auto" w:fill="FFFFFF"/>
          </w:tcPr>
          <w:p>
            <w:pPr>
              <w:jc w:val="center"/>
            </w:pPr>
            <w:r>
              <w:rPr>
                <w:b/>
                <w:sz w:val="20"/>
              </w:rPr>
              <w:t>CL</w:t>
            </w:r>
          </w:p>
        </w:tc>
        <w:tc>
          <w:tcPr>
            <w:tcW w:type="dxa" w:w="3024"/>
            <w:shd w:val="clear" w:color="auto" w:fill="FFFFFF"/>
          </w:tcPr>
          <w:p>
            <w:r>
              <w:rPr>
                <w:sz w:val="20"/>
              </w:rPr>
              <w:t>Colgate-Palmolive</w:t>
            </w:r>
          </w:p>
        </w:tc>
        <w:tc>
          <w:tcPr>
            <w:tcW w:type="dxa" w:w="3024"/>
            <w:shd w:val="clear" w:color="auto" w:fill="FFFFFF"/>
          </w:tcPr>
          <w:p>
            <w:r>
              <w:rPr>
                <w:sz w:val="20"/>
              </w:rPr>
              <w:t>Higiene / Consumo básico</w:t>
            </w:r>
          </w:p>
        </w:tc>
        <w:tc>
          <w:tcPr>
            <w:tcW w:type="dxa" w:w="1440"/>
            <w:shd w:val="clear" w:color="auto" w:fill="FFFFFF"/>
          </w:tcPr>
          <w:p>
            <w:r>
              <w:rPr>
                <w:sz w:val="20"/>
              </w:rPr>
              <w:t>EE.UU.</w:t>
            </w:r>
          </w:p>
        </w:tc>
      </w:tr>
      <w:tr>
        <w:tc>
          <w:tcPr>
            <w:tcW w:type="dxa" w:w="1152"/>
            <w:shd w:val="clear" w:color="auto" w:fill="F0F5FF"/>
          </w:tcPr>
          <w:p>
            <w:pPr>
              <w:jc w:val="center"/>
            </w:pPr>
            <w:r>
              <w:rPr>
                <w:b/>
                <w:sz w:val="20"/>
              </w:rPr>
              <w:t>UNH</w:t>
            </w:r>
          </w:p>
        </w:tc>
        <w:tc>
          <w:tcPr>
            <w:tcW w:type="dxa" w:w="3024"/>
            <w:shd w:val="clear" w:color="auto" w:fill="F0F5FF"/>
          </w:tcPr>
          <w:p>
            <w:r>
              <w:rPr>
                <w:sz w:val="20"/>
              </w:rPr>
              <w:t>UnitedHealth Group</w:t>
            </w:r>
          </w:p>
        </w:tc>
        <w:tc>
          <w:tcPr>
            <w:tcW w:type="dxa" w:w="3024"/>
            <w:shd w:val="clear" w:color="auto" w:fill="F0F5FF"/>
          </w:tcPr>
          <w:p>
            <w:r>
              <w:rPr>
                <w:sz w:val="20"/>
              </w:rPr>
              <w:t>Seguros de salud</w:t>
            </w:r>
          </w:p>
        </w:tc>
        <w:tc>
          <w:tcPr>
            <w:tcW w:type="dxa" w:w="1440"/>
            <w:shd w:val="clear" w:color="auto" w:fill="F0F5FF"/>
          </w:tcPr>
          <w:p>
            <w:r>
              <w:rPr>
                <w:sz w:val="20"/>
              </w:rPr>
              <w:t>EE.UU.</w:t>
            </w:r>
          </w:p>
        </w:tc>
      </w:tr>
      <w:tr>
        <w:tc>
          <w:tcPr>
            <w:tcW w:type="dxa" w:w="1152"/>
            <w:shd w:val="clear" w:color="auto" w:fill="FFFFFF"/>
          </w:tcPr>
          <w:p>
            <w:pPr>
              <w:jc w:val="center"/>
            </w:pPr>
            <w:r>
              <w:rPr>
                <w:b/>
                <w:sz w:val="20"/>
              </w:rPr>
              <w:t>JNJ</w:t>
            </w:r>
          </w:p>
        </w:tc>
        <w:tc>
          <w:tcPr>
            <w:tcW w:type="dxa" w:w="3024"/>
            <w:shd w:val="clear" w:color="auto" w:fill="FFFFFF"/>
          </w:tcPr>
          <w:p>
            <w:r>
              <w:rPr>
                <w:sz w:val="20"/>
              </w:rPr>
              <w:t>Johnson &amp; Johnson</w:t>
            </w:r>
          </w:p>
        </w:tc>
        <w:tc>
          <w:tcPr>
            <w:tcW w:type="dxa" w:w="3024"/>
            <w:shd w:val="clear" w:color="auto" w:fill="FFFFFF"/>
          </w:tcPr>
          <w:p>
            <w:r>
              <w:rPr>
                <w:sz w:val="20"/>
              </w:rPr>
              <w:t>Farmacéutica / Dispositivos</w:t>
            </w:r>
          </w:p>
        </w:tc>
        <w:tc>
          <w:tcPr>
            <w:tcW w:type="dxa" w:w="1440"/>
            <w:shd w:val="clear" w:color="auto" w:fill="FFFFFF"/>
          </w:tcPr>
          <w:p>
            <w:r>
              <w:rPr>
                <w:sz w:val="20"/>
              </w:rPr>
              <w:t>EE.UU.</w:t>
            </w:r>
          </w:p>
        </w:tc>
      </w:tr>
      <w:tr>
        <w:tc>
          <w:tcPr>
            <w:tcW w:type="dxa" w:w="1152"/>
            <w:shd w:val="clear" w:color="auto" w:fill="F0F5FF"/>
          </w:tcPr>
          <w:p>
            <w:pPr>
              <w:jc w:val="center"/>
            </w:pPr>
            <w:r>
              <w:rPr>
                <w:b/>
                <w:sz w:val="20"/>
              </w:rPr>
              <w:t>LLY</w:t>
            </w:r>
          </w:p>
        </w:tc>
        <w:tc>
          <w:tcPr>
            <w:tcW w:type="dxa" w:w="3024"/>
            <w:shd w:val="clear" w:color="auto" w:fill="F0F5FF"/>
          </w:tcPr>
          <w:p>
            <w:r>
              <w:rPr>
                <w:sz w:val="20"/>
              </w:rPr>
              <w:t>Eli Lilly</w:t>
            </w:r>
          </w:p>
        </w:tc>
        <w:tc>
          <w:tcPr>
            <w:tcW w:type="dxa" w:w="3024"/>
            <w:shd w:val="clear" w:color="auto" w:fill="F0F5FF"/>
          </w:tcPr>
          <w:p>
            <w:r>
              <w:rPr>
                <w:sz w:val="20"/>
              </w:rPr>
              <w:t>Farmacéutica</w:t>
            </w:r>
          </w:p>
        </w:tc>
        <w:tc>
          <w:tcPr>
            <w:tcW w:type="dxa" w:w="1440"/>
            <w:shd w:val="clear" w:color="auto" w:fill="F0F5FF"/>
          </w:tcPr>
          <w:p>
            <w:r>
              <w:rPr>
                <w:sz w:val="20"/>
              </w:rPr>
              <w:t>EE.UU.</w:t>
            </w:r>
          </w:p>
        </w:tc>
      </w:tr>
      <w:tr>
        <w:tc>
          <w:tcPr>
            <w:tcW w:type="dxa" w:w="1152"/>
            <w:shd w:val="clear" w:color="auto" w:fill="FFFFFF"/>
          </w:tcPr>
          <w:p>
            <w:pPr>
              <w:jc w:val="center"/>
            </w:pPr>
            <w:r>
              <w:rPr>
                <w:b/>
                <w:sz w:val="20"/>
              </w:rPr>
              <w:t>ABBV</w:t>
            </w:r>
          </w:p>
        </w:tc>
        <w:tc>
          <w:tcPr>
            <w:tcW w:type="dxa" w:w="3024"/>
            <w:shd w:val="clear" w:color="auto" w:fill="FFFFFF"/>
          </w:tcPr>
          <w:p>
            <w:r>
              <w:rPr>
                <w:sz w:val="20"/>
              </w:rPr>
              <w:t>AbbVie</w:t>
            </w:r>
          </w:p>
        </w:tc>
        <w:tc>
          <w:tcPr>
            <w:tcW w:type="dxa" w:w="3024"/>
            <w:shd w:val="clear" w:color="auto" w:fill="FFFFFF"/>
          </w:tcPr>
          <w:p>
            <w:r>
              <w:rPr>
                <w:sz w:val="20"/>
              </w:rPr>
              <w:t>Farmacéutica / Biotech</w:t>
            </w:r>
          </w:p>
        </w:tc>
        <w:tc>
          <w:tcPr>
            <w:tcW w:type="dxa" w:w="1440"/>
            <w:shd w:val="clear" w:color="auto" w:fill="FFFFFF"/>
          </w:tcPr>
          <w:p>
            <w:r>
              <w:rPr>
                <w:sz w:val="20"/>
              </w:rPr>
              <w:t>EE.UU.</w:t>
            </w:r>
          </w:p>
        </w:tc>
      </w:tr>
      <w:tr>
        <w:tc>
          <w:tcPr>
            <w:tcW w:type="dxa" w:w="1152"/>
            <w:shd w:val="clear" w:color="auto" w:fill="F0F5FF"/>
          </w:tcPr>
          <w:p>
            <w:pPr>
              <w:jc w:val="center"/>
            </w:pPr>
            <w:r>
              <w:rPr>
                <w:b/>
                <w:sz w:val="20"/>
              </w:rPr>
              <w:t>MRK</w:t>
            </w:r>
          </w:p>
        </w:tc>
        <w:tc>
          <w:tcPr>
            <w:tcW w:type="dxa" w:w="3024"/>
            <w:shd w:val="clear" w:color="auto" w:fill="F0F5FF"/>
          </w:tcPr>
          <w:p>
            <w:r>
              <w:rPr>
                <w:sz w:val="20"/>
              </w:rPr>
              <w:t>Merck</w:t>
            </w:r>
          </w:p>
        </w:tc>
        <w:tc>
          <w:tcPr>
            <w:tcW w:type="dxa" w:w="3024"/>
            <w:shd w:val="clear" w:color="auto" w:fill="F0F5FF"/>
          </w:tcPr>
          <w:p>
            <w:r>
              <w:rPr>
                <w:sz w:val="20"/>
              </w:rPr>
              <w:t>Farmacéutica</w:t>
            </w:r>
          </w:p>
        </w:tc>
        <w:tc>
          <w:tcPr>
            <w:tcW w:type="dxa" w:w="1440"/>
            <w:shd w:val="clear" w:color="auto" w:fill="F0F5FF"/>
          </w:tcPr>
          <w:p>
            <w:r>
              <w:rPr>
                <w:sz w:val="20"/>
              </w:rPr>
              <w:t>EE.UU.</w:t>
            </w:r>
          </w:p>
        </w:tc>
      </w:tr>
      <w:tr>
        <w:tc>
          <w:tcPr>
            <w:tcW w:type="dxa" w:w="1152"/>
            <w:shd w:val="clear" w:color="auto" w:fill="FFFFFF"/>
          </w:tcPr>
          <w:p>
            <w:pPr>
              <w:jc w:val="center"/>
            </w:pPr>
            <w:r>
              <w:rPr>
                <w:b/>
                <w:sz w:val="20"/>
              </w:rPr>
              <w:t>ABT</w:t>
            </w:r>
          </w:p>
        </w:tc>
        <w:tc>
          <w:tcPr>
            <w:tcW w:type="dxa" w:w="3024"/>
            <w:shd w:val="clear" w:color="auto" w:fill="FFFFFF"/>
          </w:tcPr>
          <w:p>
            <w:r>
              <w:rPr>
                <w:sz w:val="20"/>
              </w:rPr>
              <w:t>Abbott Laboratories</w:t>
            </w:r>
          </w:p>
        </w:tc>
        <w:tc>
          <w:tcPr>
            <w:tcW w:type="dxa" w:w="3024"/>
            <w:shd w:val="clear" w:color="auto" w:fill="FFFFFF"/>
          </w:tcPr>
          <w:p>
            <w:r>
              <w:rPr>
                <w:sz w:val="20"/>
              </w:rPr>
              <w:t>Dispositivos médicos</w:t>
            </w:r>
          </w:p>
        </w:tc>
        <w:tc>
          <w:tcPr>
            <w:tcW w:type="dxa" w:w="1440"/>
            <w:shd w:val="clear" w:color="auto" w:fill="FFFFFF"/>
          </w:tcPr>
          <w:p>
            <w:r>
              <w:rPr>
                <w:sz w:val="20"/>
              </w:rPr>
              <w:t>EE.UU.</w:t>
            </w:r>
          </w:p>
        </w:tc>
      </w:tr>
      <w:tr>
        <w:tc>
          <w:tcPr>
            <w:tcW w:type="dxa" w:w="1152"/>
            <w:shd w:val="clear" w:color="auto" w:fill="F0F5FF"/>
          </w:tcPr>
          <w:p>
            <w:pPr>
              <w:jc w:val="center"/>
            </w:pPr>
            <w:r>
              <w:rPr>
                <w:b/>
                <w:sz w:val="20"/>
              </w:rPr>
              <w:t>TMO</w:t>
            </w:r>
          </w:p>
        </w:tc>
        <w:tc>
          <w:tcPr>
            <w:tcW w:type="dxa" w:w="3024"/>
            <w:shd w:val="clear" w:color="auto" w:fill="F0F5FF"/>
          </w:tcPr>
          <w:p>
            <w:r>
              <w:rPr>
                <w:sz w:val="20"/>
              </w:rPr>
              <w:t>Thermo Fisher Scientific</w:t>
            </w:r>
          </w:p>
        </w:tc>
        <w:tc>
          <w:tcPr>
            <w:tcW w:type="dxa" w:w="3024"/>
            <w:shd w:val="clear" w:color="auto" w:fill="F0F5FF"/>
          </w:tcPr>
          <w:p>
            <w:r>
              <w:rPr>
                <w:sz w:val="20"/>
              </w:rPr>
              <w:t>Ciencias de la vida</w:t>
            </w:r>
          </w:p>
        </w:tc>
        <w:tc>
          <w:tcPr>
            <w:tcW w:type="dxa" w:w="1440"/>
            <w:shd w:val="clear" w:color="auto" w:fill="F0F5FF"/>
          </w:tcPr>
          <w:p>
            <w:r>
              <w:rPr>
                <w:sz w:val="20"/>
              </w:rPr>
              <w:t>EE.UU.</w:t>
            </w:r>
          </w:p>
        </w:tc>
      </w:tr>
      <w:tr>
        <w:tc>
          <w:tcPr>
            <w:tcW w:type="dxa" w:w="1152"/>
            <w:shd w:val="clear" w:color="auto" w:fill="FFFFFF"/>
          </w:tcPr>
          <w:p>
            <w:pPr>
              <w:jc w:val="center"/>
            </w:pPr>
            <w:r>
              <w:rPr>
                <w:b/>
                <w:sz w:val="20"/>
              </w:rPr>
              <w:t>DHR</w:t>
            </w:r>
          </w:p>
        </w:tc>
        <w:tc>
          <w:tcPr>
            <w:tcW w:type="dxa" w:w="3024"/>
            <w:shd w:val="clear" w:color="auto" w:fill="FFFFFF"/>
          </w:tcPr>
          <w:p>
            <w:r>
              <w:rPr>
                <w:sz w:val="20"/>
              </w:rPr>
              <w:t>Danaher</w:t>
            </w:r>
          </w:p>
        </w:tc>
        <w:tc>
          <w:tcPr>
            <w:tcW w:type="dxa" w:w="3024"/>
            <w:shd w:val="clear" w:color="auto" w:fill="FFFFFF"/>
          </w:tcPr>
          <w:p>
            <w:r>
              <w:rPr>
                <w:sz w:val="20"/>
              </w:rPr>
              <w:t>Ciencias de la vida</w:t>
            </w:r>
          </w:p>
        </w:tc>
        <w:tc>
          <w:tcPr>
            <w:tcW w:type="dxa" w:w="1440"/>
            <w:shd w:val="clear" w:color="auto" w:fill="FFFFFF"/>
          </w:tcPr>
          <w:p>
            <w:r>
              <w:rPr>
                <w:sz w:val="20"/>
              </w:rPr>
              <w:t>EE.UU.</w:t>
            </w:r>
          </w:p>
        </w:tc>
      </w:tr>
      <w:tr>
        <w:tc>
          <w:tcPr>
            <w:tcW w:type="dxa" w:w="1152"/>
            <w:shd w:val="clear" w:color="auto" w:fill="F0F5FF"/>
          </w:tcPr>
          <w:p>
            <w:pPr>
              <w:jc w:val="center"/>
            </w:pPr>
            <w:r>
              <w:rPr>
                <w:b/>
                <w:sz w:val="20"/>
              </w:rPr>
              <w:t>BMY</w:t>
            </w:r>
          </w:p>
        </w:tc>
        <w:tc>
          <w:tcPr>
            <w:tcW w:type="dxa" w:w="3024"/>
            <w:shd w:val="clear" w:color="auto" w:fill="F0F5FF"/>
          </w:tcPr>
          <w:p>
            <w:r>
              <w:rPr>
                <w:sz w:val="20"/>
              </w:rPr>
              <w:t>Bristol-Myers Squibb</w:t>
            </w:r>
          </w:p>
        </w:tc>
        <w:tc>
          <w:tcPr>
            <w:tcW w:type="dxa" w:w="3024"/>
            <w:shd w:val="clear" w:color="auto" w:fill="F0F5FF"/>
          </w:tcPr>
          <w:p>
            <w:r>
              <w:rPr>
                <w:sz w:val="20"/>
              </w:rPr>
              <w:t>Farmacéutica</w:t>
            </w:r>
          </w:p>
        </w:tc>
        <w:tc>
          <w:tcPr>
            <w:tcW w:type="dxa" w:w="1440"/>
            <w:shd w:val="clear" w:color="auto" w:fill="F0F5FF"/>
          </w:tcPr>
          <w:p>
            <w:r>
              <w:rPr>
                <w:sz w:val="20"/>
              </w:rPr>
              <w:t>EE.UU.</w:t>
            </w:r>
          </w:p>
        </w:tc>
      </w:tr>
      <w:tr>
        <w:tc>
          <w:tcPr>
            <w:tcW w:type="dxa" w:w="1152"/>
            <w:shd w:val="clear" w:color="auto" w:fill="FFFFFF"/>
          </w:tcPr>
          <w:p>
            <w:pPr>
              <w:jc w:val="center"/>
            </w:pPr>
            <w:r>
              <w:rPr>
                <w:b/>
                <w:sz w:val="20"/>
              </w:rPr>
              <w:t>AMGN</w:t>
            </w:r>
          </w:p>
        </w:tc>
        <w:tc>
          <w:tcPr>
            <w:tcW w:type="dxa" w:w="3024"/>
            <w:shd w:val="clear" w:color="auto" w:fill="FFFFFF"/>
          </w:tcPr>
          <w:p>
            <w:r>
              <w:rPr>
                <w:sz w:val="20"/>
              </w:rPr>
              <w:t>Amgen</w:t>
            </w:r>
          </w:p>
        </w:tc>
        <w:tc>
          <w:tcPr>
            <w:tcW w:type="dxa" w:w="3024"/>
            <w:shd w:val="clear" w:color="auto" w:fill="FFFFFF"/>
          </w:tcPr>
          <w:p>
            <w:r>
              <w:rPr>
                <w:sz w:val="20"/>
              </w:rPr>
              <w:t>Biotecnología</w:t>
            </w:r>
          </w:p>
        </w:tc>
        <w:tc>
          <w:tcPr>
            <w:tcW w:type="dxa" w:w="1440"/>
            <w:shd w:val="clear" w:color="auto" w:fill="FFFFFF"/>
          </w:tcPr>
          <w:p>
            <w:r>
              <w:rPr>
                <w:sz w:val="20"/>
              </w:rPr>
              <w:t>EE.UU.</w:t>
            </w:r>
          </w:p>
        </w:tc>
      </w:tr>
      <w:tr>
        <w:tc>
          <w:tcPr>
            <w:tcW w:type="dxa" w:w="1152"/>
            <w:shd w:val="clear" w:color="auto" w:fill="F0F5FF"/>
          </w:tcPr>
          <w:p>
            <w:pPr>
              <w:jc w:val="center"/>
            </w:pPr>
            <w:r>
              <w:rPr>
                <w:b/>
                <w:sz w:val="20"/>
              </w:rPr>
              <w:t>GILD</w:t>
            </w:r>
          </w:p>
        </w:tc>
        <w:tc>
          <w:tcPr>
            <w:tcW w:type="dxa" w:w="3024"/>
            <w:shd w:val="clear" w:color="auto" w:fill="F0F5FF"/>
          </w:tcPr>
          <w:p>
            <w:r>
              <w:rPr>
                <w:sz w:val="20"/>
              </w:rPr>
              <w:t>Gilead Sciences</w:t>
            </w:r>
          </w:p>
        </w:tc>
        <w:tc>
          <w:tcPr>
            <w:tcW w:type="dxa" w:w="3024"/>
            <w:shd w:val="clear" w:color="auto" w:fill="F0F5FF"/>
          </w:tcPr>
          <w:p>
            <w:r>
              <w:rPr>
                <w:sz w:val="20"/>
              </w:rPr>
              <w:t>Biotecnología</w:t>
            </w:r>
          </w:p>
        </w:tc>
        <w:tc>
          <w:tcPr>
            <w:tcW w:type="dxa" w:w="1440"/>
            <w:shd w:val="clear" w:color="auto" w:fill="F0F5FF"/>
          </w:tcPr>
          <w:p>
            <w:r>
              <w:rPr>
                <w:sz w:val="20"/>
              </w:rPr>
              <w:t>EE.UU.</w:t>
            </w:r>
          </w:p>
        </w:tc>
      </w:tr>
      <w:tr>
        <w:tc>
          <w:tcPr>
            <w:tcW w:type="dxa" w:w="1152"/>
            <w:shd w:val="clear" w:color="auto" w:fill="FFFFFF"/>
          </w:tcPr>
          <w:p>
            <w:pPr>
              <w:jc w:val="center"/>
            </w:pPr>
            <w:r>
              <w:rPr>
                <w:b/>
                <w:sz w:val="20"/>
              </w:rPr>
              <w:t>ISRG</w:t>
            </w:r>
          </w:p>
        </w:tc>
        <w:tc>
          <w:tcPr>
            <w:tcW w:type="dxa" w:w="3024"/>
            <w:shd w:val="clear" w:color="auto" w:fill="FFFFFF"/>
          </w:tcPr>
          <w:p>
            <w:r>
              <w:rPr>
                <w:sz w:val="20"/>
              </w:rPr>
              <w:t>Intuitive Surgical</w:t>
            </w:r>
          </w:p>
        </w:tc>
        <w:tc>
          <w:tcPr>
            <w:tcW w:type="dxa" w:w="3024"/>
            <w:shd w:val="clear" w:color="auto" w:fill="FFFFFF"/>
          </w:tcPr>
          <w:p>
            <w:r>
              <w:rPr>
                <w:sz w:val="20"/>
              </w:rPr>
              <w:t>Robótica médica</w:t>
            </w:r>
          </w:p>
        </w:tc>
        <w:tc>
          <w:tcPr>
            <w:tcW w:type="dxa" w:w="1440"/>
            <w:shd w:val="clear" w:color="auto" w:fill="FFFFFF"/>
          </w:tcPr>
          <w:p>
            <w:r>
              <w:rPr>
                <w:sz w:val="20"/>
              </w:rPr>
              <w:t>EE.UU.</w:t>
            </w:r>
          </w:p>
        </w:tc>
      </w:tr>
      <w:tr>
        <w:tc>
          <w:tcPr>
            <w:tcW w:type="dxa" w:w="1152"/>
            <w:shd w:val="clear" w:color="auto" w:fill="F0F5FF"/>
          </w:tcPr>
          <w:p>
            <w:pPr>
              <w:jc w:val="center"/>
            </w:pPr>
            <w:r>
              <w:rPr>
                <w:b/>
                <w:sz w:val="20"/>
              </w:rPr>
              <w:t>MDT</w:t>
            </w:r>
          </w:p>
        </w:tc>
        <w:tc>
          <w:tcPr>
            <w:tcW w:type="dxa" w:w="3024"/>
            <w:shd w:val="clear" w:color="auto" w:fill="F0F5FF"/>
          </w:tcPr>
          <w:p>
            <w:r>
              <w:rPr>
                <w:sz w:val="20"/>
              </w:rPr>
              <w:t>Medtronic</w:t>
            </w:r>
          </w:p>
        </w:tc>
        <w:tc>
          <w:tcPr>
            <w:tcW w:type="dxa" w:w="3024"/>
            <w:shd w:val="clear" w:color="auto" w:fill="F0F5FF"/>
          </w:tcPr>
          <w:p>
            <w:r>
              <w:rPr>
                <w:sz w:val="20"/>
              </w:rPr>
              <w:t>Dispositivos médicos</w:t>
            </w:r>
          </w:p>
        </w:tc>
        <w:tc>
          <w:tcPr>
            <w:tcW w:type="dxa" w:w="1440"/>
            <w:shd w:val="clear" w:color="auto" w:fill="F0F5FF"/>
          </w:tcPr>
          <w:p>
            <w:r>
              <w:rPr>
                <w:sz w:val="20"/>
              </w:rPr>
              <w:t>Irlanda *</w:t>
            </w:r>
          </w:p>
        </w:tc>
      </w:tr>
      <w:tr>
        <w:tc>
          <w:tcPr>
            <w:tcW w:type="dxa" w:w="1152"/>
            <w:shd w:val="clear" w:color="auto" w:fill="FFFFFF"/>
          </w:tcPr>
          <w:p>
            <w:pPr>
              <w:jc w:val="center"/>
            </w:pPr>
            <w:r>
              <w:rPr>
                <w:b/>
                <w:sz w:val="20"/>
              </w:rPr>
              <w:t>SYK</w:t>
            </w:r>
          </w:p>
        </w:tc>
        <w:tc>
          <w:tcPr>
            <w:tcW w:type="dxa" w:w="3024"/>
            <w:shd w:val="clear" w:color="auto" w:fill="FFFFFF"/>
          </w:tcPr>
          <w:p>
            <w:r>
              <w:rPr>
                <w:sz w:val="20"/>
              </w:rPr>
              <w:t>Stryker</w:t>
            </w:r>
          </w:p>
        </w:tc>
        <w:tc>
          <w:tcPr>
            <w:tcW w:type="dxa" w:w="3024"/>
            <w:shd w:val="clear" w:color="auto" w:fill="FFFFFF"/>
          </w:tcPr>
          <w:p>
            <w:r>
              <w:rPr>
                <w:sz w:val="20"/>
              </w:rPr>
              <w:t>Dispositivos médicos</w:t>
            </w:r>
          </w:p>
        </w:tc>
        <w:tc>
          <w:tcPr>
            <w:tcW w:type="dxa" w:w="1440"/>
            <w:shd w:val="clear" w:color="auto" w:fill="FFFFFF"/>
          </w:tcPr>
          <w:p>
            <w:r>
              <w:rPr>
                <w:sz w:val="20"/>
              </w:rPr>
              <w:t>EE.UU.</w:t>
            </w:r>
          </w:p>
        </w:tc>
      </w:tr>
      <w:tr>
        <w:tc>
          <w:tcPr>
            <w:tcW w:type="dxa" w:w="1152"/>
            <w:shd w:val="clear" w:color="auto" w:fill="F0F5FF"/>
          </w:tcPr>
          <w:p>
            <w:pPr>
              <w:jc w:val="center"/>
            </w:pPr>
            <w:r>
              <w:rPr>
                <w:b/>
                <w:sz w:val="20"/>
              </w:rPr>
              <w:t>ZTS</w:t>
            </w:r>
          </w:p>
        </w:tc>
        <w:tc>
          <w:tcPr>
            <w:tcW w:type="dxa" w:w="3024"/>
            <w:shd w:val="clear" w:color="auto" w:fill="F0F5FF"/>
          </w:tcPr>
          <w:p>
            <w:r>
              <w:rPr>
                <w:sz w:val="20"/>
              </w:rPr>
              <w:t>Zoetis</w:t>
            </w:r>
          </w:p>
        </w:tc>
        <w:tc>
          <w:tcPr>
            <w:tcW w:type="dxa" w:w="3024"/>
            <w:shd w:val="clear" w:color="auto" w:fill="F0F5FF"/>
          </w:tcPr>
          <w:p>
            <w:r>
              <w:rPr>
                <w:sz w:val="20"/>
              </w:rPr>
              <w:t>Salud animal</w:t>
            </w:r>
          </w:p>
        </w:tc>
        <w:tc>
          <w:tcPr>
            <w:tcW w:type="dxa" w:w="1440"/>
            <w:shd w:val="clear" w:color="auto" w:fill="F0F5FF"/>
          </w:tcPr>
          <w:p>
            <w:r>
              <w:rPr>
                <w:sz w:val="20"/>
              </w:rPr>
              <w:t>EE.UU.</w:t>
            </w:r>
          </w:p>
        </w:tc>
      </w:tr>
      <w:tr>
        <w:tc>
          <w:tcPr>
            <w:tcW w:type="dxa" w:w="1152"/>
            <w:shd w:val="clear" w:color="auto" w:fill="FFFFFF"/>
          </w:tcPr>
          <w:p>
            <w:pPr>
              <w:jc w:val="center"/>
            </w:pPr>
            <w:r>
              <w:rPr>
                <w:b/>
                <w:sz w:val="20"/>
              </w:rPr>
              <w:t>BDX</w:t>
            </w:r>
          </w:p>
        </w:tc>
        <w:tc>
          <w:tcPr>
            <w:tcW w:type="dxa" w:w="3024"/>
            <w:shd w:val="clear" w:color="auto" w:fill="FFFFFF"/>
          </w:tcPr>
          <w:p>
            <w:r>
              <w:rPr>
                <w:sz w:val="20"/>
              </w:rPr>
              <w:t>Becton Dickinson</w:t>
            </w:r>
          </w:p>
        </w:tc>
        <w:tc>
          <w:tcPr>
            <w:tcW w:type="dxa" w:w="3024"/>
            <w:shd w:val="clear" w:color="auto" w:fill="FFFFFF"/>
          </w:tcPr>
          <w:p>
            <w:r>
              <w:rPr>
                <w:sz w:val="20"/>
              </w:rPr>
              <w:t>Dispositivos médicos</w:t>
            </w:r>
          </w:p>
        </w:tc>
        <w:tc>
          <w:tcPr>
            <w:tcW w:type="dxa" w:w="1440"/>
            <w:shd w:val="clear" w:color="auto" w:fill="FFFFFF"/>
          </w:tcPr>
          <w:p>
            <w:r>
              <w:rPr>
                <w:sz w:val="20"/>
              </w:rPr>
              <w:t>EE.UU.</w:t>
            </w:r>
          </w:p>
        </w:tc>
      </w:tr>
      <w:tr>
        <w:tc>
          <w:tcPr>
            <w:tcW w:type="dxa" w:w="1152"/>
            <w:shd w:val="clear" w:color="auto" w:fill="F0F5FF"/>
          </w:tcPr>
          <w:p>
            <w:pPr>
              <w:jc w:val="center"/>
            </w:pPr>
            <w:r>
              <w:rPr>
                <w:b/>
                <w:sz w:val="20"/>
              </w:rPr>
              <w:t>CVS</w:t>
            </w:r>
          </w:p>
        </w:tc>
        <w:tc>
          <w:tcPr>
            <w:tcW w:type="dxa" w:w="3024"/>
            <w:shd w:val="clear" w:color="auto" w:fill="F0F5FF"/>
          </w:tcPr>
          <w:p>
            <w:r>
              <w:rPr>
                <w:sz w:val="20"/>
              </w:rPr>
              <w:t>CVS Health</w:t>
            </w:r>
          </w:p>
        </w:tc>
        <w:tc>
          <w:tcPr>
            <w:tcW w:type="dxa" w:w="3024"/>
            <w:shd w:val="clear" w:color="auto" w:fill="F0F5FF"/>
          </w:tcPr>
          <w:p>
            <w:r>
              <w:rPr>
                <w:sz w:val="20"/>
              </w:rPr>
              <w:t>Farmacia / Seguros</w:t>
            </w:r>
          </w:p>
        </w:tc>
        <w:tc>
          <w:tcPr>
            <w:tcW w:type="dxa" w:w="1440"/>
            <w:shd w:val="clear" w:color="auto" w:fill="F0F5FF"/>
          </w:tcPr>
          <w:p>
            <w:r>
              <w:rPr>
                <w:sz w:val="20"/>
              </w:rPr>
              <w:t>EE.UU.</w:t>
            </w:r>
          </w:p>
        </w:tc>
      </w:tr>
      <w:tr>
        <w:tc>
          <w:tcPr>
            <w:tcW w:type="dxa" w:w="1152"/>
            <w:shd w:val="clear" w:color="auto" w:fill="FFFFFF"/>
          </w:tcPr>
          <w:p>
            <w:pPr>
              <w:jc w:val="center"/>
            </w:pPr>
            <w:r>
              <w:rPr>
                <w:b/>
                <w:sz w:val="20"/>
              </w:rPr>
              <w:t>CI</w:t>
            </w:r>
          </w:p>
        </w:tc>
        <w:tc>
          <w:tcPr>
            <w:tcW w:type="dxa" w:w="3024"/>
            <w:shd w:val="clear" w:color="auto" w:fill="FFFFFF"/>
          </w:tcPr>
          <w:p>
            <w:r>
              <w:rPr>
                <w:sz w:val="20"/>
              </w:rPr>
              <w:t>Cigna</w:t>
            </w:r>
          </w:p>
        </w:tc>
        <w:tc>
          <w:tcPr>
            <w:tcW w:type="dxa" w:w="3024"/>
            <w:shd w:val="clear" w:color="auto" w:fill="FFFFFF"/>
          </w:tcPr>
          <w:p>
            <w:r>
              <w:rPr>
                <w:sz w:val="20"/>
              </w:rPr>
              <w:t>Seguros de salud</w:t>
            </w:r>
          </w:p>
        </w:tc>
        <w:tc>
          <w:tcPr>
            <w:tcW w:type="dxa" w:w="1440"/>
            <w:shd w:val="clear" w:color="auto" w:fill="FFFFFF"/>
          </w:tcPr>
          <w:p>
            <w:r>
              <w:rPr>
                <w:sz w:val="20"/>
              </w:rPr>
              <w:t>EE.UU.</w:t>
            </w:r>
          </w:p>
        </w:tc>
      </w:tr>
      <w:tr>
        <w:tc>
          <w:tcPr>
            <w:tcW w:type="dxa" w:w="1152"/>
            <w:shd w:val="clear" w:color="auto" w:fill="F0F5FF"/>
          </w:tcPr>
          <w:p>
            <w:pPr>
              <w:jc w:val="center"/>
            </w:pPr>
            <w:r>
              <w:rPr>
                <w:b/>
                <w:sz w:val="20"/>
              </w:rPr>
              <w:t>ELV</w:t>
            </w:r>
          </w:p>
        </w:tc>
        <w:tc>
          <w:tcPr>
            <w:tcW w:type="dxa" w:w="3024"/>
            <w:shd w:val="clear" w:color="auto" w:fill="F0F5FF"/>
          </w:tcPr>
          <w:p>
            <w:r>
              <w:rPr>
                <w:sz w:val="20"/>
              </w:rPr>
              <w:t>Elevance Health</w:t>
            </w:r>
          </w:p>
        </w:tc>
        <w:tc>
          <w:tcPr>
            <w:tcW w:type="dxa" w:w="3024"/>
            <w:shd w:val="clear" w:color="auto" w:fill="F0F5FF"/>
          </w:tcPr>
          <w:p>
            <w:r>
              <w:rPr>
                <w:sz w:val="20"/>
              </w:rPr>
              <w:t>Seguros de salud</w:t>
            </w:r>
          </w:p>
        </w:tc>
        <w:tc>
          <w:tcPr>
            <w:tcW w:type="dxa" w:w="1440"/>
            <w:shd w:val="clear" w:color="auto" w:fill="F0F5FF"/>
          </w:tcPr>
          <w:p>
            <w:r>
              <w:rPr>
                <w:sz w:val="20"/>
              </w:rPr>
              <w:t>EE.UU.</w:t>
            </w:r>
          </w:p>
        </w:tc>
      </w:tr>
      <w:tr>
        <w:tc>
          <w:tcPr>
            <w:tcW w:type="dxa" w:w="1152"/>
            <w:shd w:val="clear" w:color="auto" w:fill="FFFFFF"/>
          </w:tcPr>
          <w:p>
            <w:pPr>
              <w:jc w:val="center"/>
            </w:pPr>
            <w:r>
              <w:rPr>
                <w:b/>
                <w:sz w:val="20"/>
              </w:rPr>
              <w:t>VRTX</w:t>
            </w:r>
          </w:p>
        </w:tc>
        <w:tc>
          <w:tcPr>
            <w:tcW w:type="dxa" w:w="3024"/>
            <w:shd w:val="clear" w:color="auto" w:fill="FFFFFF"/>
          </w:tcPr>
          <w:p>
            <w:r>
              <w:rPr>
                <w:sz w:val="20"/>
              </w:rPr>
              <w:t>Vertex Pharmaceuticals</w:t>
            </w:r>
          </w:p>
        </w:tc>
        <w:tc>
          <w:tcPr>
            <w:tcW w:type="dxa" w:w="3024"/>
            <w:shd w:val="clear" w:color="auto" w:fill="FFFFFF"/>
          </w:tcPr>
          <w:p>
            <w:r>
              <w:rPr>
                <w:sz w:val="20"/>
              </w:rPr>
              <w:t>Biotecnología</w:t>
            </w:r>
          </w:p>
        </w:tc>
        <w:tc>
          <w:tcPr>
            <w:tcW w:type="dxa" w:w="1440"/>
            <w:shd w:val="clear" w:color="auto" w:fill="FFFFFF"/>
          </w:tcPr>
          <w:p>
            <w:r>
              <w:rPr>
                <w:sz w:val="20"/>
              </w:rPr>
              <w:t>EE.UU.</w:t>
            </w:r>
          </w:p>
        </w:tc>
      </w:tr>
      <w:tr>
        <w:tc>
          <w:tcPr>
            <w:tcW w:type="dxa" w:w="1152"/>
            <w:shd w:val="clear" w:color="auto" w:fill="F0F5FF"/>
          </w:tcPr>
          <w:p>
            <w:pPr>
              <w:jc w:val="center"/>
            </w:pPr>
            <w:r>
              <w:rPr>
                <w:b/>
                <w:sz w:val="20"/>
              </w:rPr>
              <w:t>JPM</w:t>
            </w:r>
          </w:p>
        </w:tc>
        <w:tc>
          <w:tcPr>
            <w:tcW w:type="dxa" w:w="3024"/>
            <w:shd w:val="clear" w:color="auto" w:fill="F0F5FF"/>
          </w:tcPr>
          <w:p>
            <w:r>
              <w:rPr>
                <w:sz w:val="20"/>
              </w:rPr>
              <w:t>JPMorgan Chase</w:t>
            </w:r>
          </w:p>
        </w:tc>
        <w:tc>
          <w:tcPr>
            <w:tcW w:type="dxa" w:w="3024"/>
            <w:shd w:val="clear" w:color="auto" w:fill="F0F5FF"/>
          </w:tcPr>
          <w:p>
            <w:r>
              <w:rPr>
                <w:sz w:val="20"/>
              </w:rPr>
              <w:t>Banca</w:t>
            </w:r>
          </w:p>
        </w:tc>
        <w:tc>
          <w:tcPr>
            <w:tcW w:type="dxa" w:w="1440"/>
            <w:shd w:val="clear" w:color="auto" w:fill="F0F5FF"/>
          </w:tcPr>
          <w:p>
            <w:r>
              <w:rPr>
                <w:sz w:val="20"/>
              </w:rPr>
              <w:t>EE.UU.</w:t>
            </w:r>
          </w:p>
        </w:tc>
      </w:tr>
      <w:tr>
        <w:tc>
          <w:tcPr>
            <w:tcW w:type="dxa" w:w="1152"/>
            <w:shd w:val="clear" w:color="auto" w:fill="FFFFFF"/>
          </w:tcPr>
          <w:p>
            <w:pPr>
              <w:jc w:val="center"/>
            </w:pPr>
            <w:r>
              <w:rPr>
                <w:b/>
                <w:sz w:val="20"/>
              </w:rPr>
              <w:t>BAC</w:t>
            </w:r>
          </w:p>
        </w:tc>
        <w:tc>
          <w:tcPr>
            <w:tcW w:type="dxa" w:w="3024"/>
            <w:shd w:val="clear" w:color="auto" w:fill="FFFFFF"/>
          </w:tcPr>
          <w:p>
            <w:r>
              <w:rPr>
                <w:sz w:val="20"/>
              </w:rPr>
              <w:t>Bank of America</w:t>
            </w:r>
          </w:p>
        </w:tc>
        <w:tc>
          <w:tcPr>
            <w:tcW w:type="dxa" w:w="3024"/>
            <w:shd w:val="clear" w:color="auto" w:fill="FFFFFF"/>
          </w:tcPr>
          <w:p>
            <w:r>
              <w:rPr>
                <w:sz w:val="20"/>
              </w:rPr>
              <w:t>Banca</w:t>
            </w:r>
          </w:p>
        </w:tc>
        <w:tc>
          <w:tcPr>
            <w:tcW w:type="dxa" w:w="1440"/>
            <w:shd w:val="clear" w:color="auto" w:fill="FFFFFF"/>
          </w:tcPr>
          <w:p>
            <w:r>
              <w:rPr>
                <w:sz w:val="20"/>
              </w:rPr>
              <w:t>EE.UU.</w:t>
            </w:r>
          </w:p>
        </w:tc>
      </w:tr>
      <w:tr>
        <w:tc>
          <w:tcPr>
            <w:tcW w:type="dxa" w:w="1152"/>
            <w:shd w:val="clear" w:color="auto" w:fill="F0F5FF"/>
          </w:tcPr>
          <w:p>
            <w:pPr>
              <w:jc w:val="center"/>
            </w:pPr>
            <w:r>
              <w:rPr>
                <w:b/>
                <w:sz w:val="20"/>
              </w:rPr>
              <w:t>WFC</w:t>
            </w:r>
          </w:p>
        </w:tc>
        <w:tc>
          <w:tcPr>
            <w:tcW w:type="dxa" w:w="3024"/>
            <w:shd w:val="clear" w:color="auto" w:fill="F0F5FF"/>
          </w:tcPr>
          <w:p>
            <w:r>
              <w:rPr>
                <w:sz w:val="20"/>
              </w:rPr>
              <w:t>Wells Fargo</w:t>
            </w:r>
          </w:p>
        </w:tc>
        <w:tc>
          <w:tcPr>
            <w:tcW w:type="dxa" w:w="3024"/>
            <w:shd w:val="clear" w:color="auto" w:fill="F0F5FF"/>
          </w:tcPr>
          <w:p>
            <w:r>
              <w:rPr>
                <w:sz w:val="20"/>
              </w:rPr>
              <w:t>Banca</w:t>
            </w:r>
          </w:p>
        </w:tc>
        <w:tc>
          <w:tcPr>
            <w:tcW w:type="dxa" w:w="1440"/>
            <w:shd w:val="clear" w:color="auto" w:fill="F0F5FF"/>
          </w:tcPr>
          <w:p>
            <w:r>
              <w:rPr>
                <w:sz w:val="20"/>
              </w:rPr>
              <w:t>EE.UU.</w:t>
            </w:r>
          </w:p>
        </w:tc>
      </w:tr>
      <w:tr>
        <w:tc>
          <w:tcPr>
            <w:tcW w:type="dxa" w:w="1152"/>
            <w:shd w:val="clear" w:color="auto" w:fill="FFFFFF"/>
          </w:tcPr>
          <w:p>
            <w:pPr>
              <w:jc w:val="center"/>
            </w:pPr>
            <w:r>
              <w:rPr>
                <w:b/>
                <w:sz w:val="20"/>
              </w:rPr>
              <w:t>MS</w:t>
            </w:r>
          </w:p>
        </w:tc>
        <w:tc>
          <w:tcPr>
            <w:tcW w:type="dxa" w:w="3024"/>
            <w:shd w:val="clear" w:color="auto" w:fill="FFFFFF"/>
          </w:tcPr>
          <w:p>
            <w:r>
              <w:rPr>
                <w:sz w:val="20"/>
              </w:rPr>
              <w:t>Morgan Stanley</w:t>
            </w:r>
          </w:p>
        </w:tc>
        <w:tc>
          <w:tcPr>
            <w:tcW w:type="dxa" w:w="3024"/>
            <w:shd w:val="clear" w:color="auto" w:fill="FFFFFF"/>
          </w:tcPr>
          <w:p>
            <w:r>
              <w:rPr>
                <w:sz w:val="20"/>
              </w:rPr>
              <w:t>Banca de inversión</w:t>
            </w:r>
          </w:p>
        </w:tc>
        <w:tc>
          <w:tcPr>
            <w:tcW w:type="dxa" w:w="1440"/>
            <w:shd w:val="clear" w:color="auto" w:fill="FFFFFF"/>
          </w:tcPr>
          <w:p>
            <w:r>
              <w:rPr>
                <w:sz w:val="20"/>
              </w:rPr>
              <w:t>EE.UU.</w:t>
            </w:r>
          </w:p>
        </w:tc>
      </w:tr>
      <w:tr>
        <w:tc>
          <w:tcPr>
            <w:tcW w:type="dxa" w:w="1152"/>
            <w:shd w:val="clear" w:color="auto" w:fill="F0F5FF"/>
          </w:tcPr>
          <w:p>
            <w:pPr>
              <w:jc w:val="center"/>
            </w:pPr>
            <w:r>
              <w:rPr>
                <w:b/>
                <w:sz w:val="20"/>
              </w:rPr>
              <w:t>GS</w:t>
            </w:r>
          </w:p>
        </w:tc>
        <w:tc>
          <w:tcPr>
            <w:tcW w:type="dxa" w:w="3024"/>
            <w:shd w:val="clear" w:color="auto" w:fill="F0F5FF"/>
          </w:tcPr>
          <w:p>
            <w:r>
              <w:rPr>
                <w:sz w:val="20"/>
              </w:rPr>
              <w:t>Goldman Sachs</w:t>
            </w:r>
          </w:p>
        </w:tc>
        <w:tc>
          <w:tcPr>
            <w:tcW w:type="dxa" w:w="3024"/>
            <w:shd w:val="clear" w:color="auto" w:fill="F0F5FF"/>
          </w:tcPr>
          <w:p>
            <w:r>
              <w:rPr>
                <w:sz w:val="20"/>
              </w:rPr>
              <w:t>Banca de inversión</w:t>
            </w:r>
          </w:p>
        </w:tc>
        <w:tc>
          <w:tcPr>
            <w:tcW w:type="dxa" w:w="1440"/>
            <w:shd w:val="clear" w:color="auto" w:fill="F0F5FF"/>
          </w:tcPr>
          <w:p>
            <w:r>
              <w:rPr>
                <w:sz w:val="20"/>
              </w:rPr>
              <w:t>EE.UU.</w:t>
            </w:r>
          </w:p>
        </w:tc>
      </w:tr>
      <w:tr>
        <w:tc>
          <w:tcPr>
            <w:tcW w:type="dxa" w:w="1152"/>
            <w:shd w:val="clear" w:color="auto" w:fill="FFFFFF"/>
          </w:tcPr>
          <w:p>
            <w:pPr>
              <w:jc w:val="center"/>
            </w:pPr>
            <w:r>
              <w:rPr>
                <w:b/>
                <w:sz w:val="20"/>
              </w:rPr>
              <w:t>BLK</w:t>
            </w:r>
          </w:p>
        </w:tc>
        <w:tc>
          <w:tcPr>
            <w:tcW w:type="dxa" w:w="3024"/>
            <w:shd w:val="clear" w:color="auto" w:fill="FFFFFF"/>
          </w:tcPr>
          <w:p>
            <w:r>
              <w:rPr>
                <w:sz w:val="20"/>
              </w:rPr>
              <w:t>BlackRock</w:t>
            </w:r>
          </w:p>
        </w:tc>
        <w:tc>
          <w:tcPr>
            <w:tcW w:type="dxa" w:w="3024"/>
            <w:shd w:val="clear" w:color="auto" w:fill="FFFFFF"/>
          </w:tcPr>
          <w:p>
            <w:r>
              <w:rPr>
                <w:sz w:val="20"/>
              </w:rPr>
              <w:t>Gestión de activos</w:t>
            </w:r>
          </w:p>
        </w:tc>
        <w:tc>
          <w:tcPr>
            <w:tcW w:type="dxa" w:w="1440"/>
            <w:shd w:val="clear" w:color="auto" w:fill="FFFFFF"/>
          </w:tcPr>
          <w:p>
            <w:r>
              <w:rPr>
                <w:sz w:val="20"/>
              </w:rPr>
              <w:t>EE.UU.</w:t>
            </w:r>
          </w:p>
        </w:tc>
      </w:tr>
      <w:tr>
        <w:tc>
          <w:tcPr>
            <w:tcW w:type="dxa" w:w="1152"/>
            <w:shd w:val="clear" w:color="auto" w:fill="F0F5FF"/>
          </w:tcPr>
          <w:p>
            <w:pPr>
              <w:jc w:val="center"/>
            </w:pPr>
            <w:r>
              <w:rPr>
                <w:b/>
                <w:sz w:val="20"/>
              </w:rPr>
              <w:t>SCHW</w:t>
            </w:r>
          </w:p>
        </w:tc>
        <w:tc>
          <w:tcPr>
            <w:tcW w:type="dxa" w:w="3024"/>
            <w:shd w:val="clear" w:color="auto" w:fill="F0F5FF"/>
          </w:tcPr>
          <w:p>
            <w:r>
              <w:rPr>
                <w:sz w:val="20"/>
              </w:rPr>
              <w:t>Charles Schwab</w:t>
            </w:r>
          </w:p>
        </w:tc>
        <w:tc>
          <w:tcPr>
            <w:tcW w:type="dxa" w:w="3024"/>
            <w:shd w:val="clear" w:color="auto" w:fill="F0F5FF"/>
          </w:tcPr>
          <w:p>
            <w:r>
              <w:rPr>
                <w:sz w:val="20"/>
              </w:rPr>
              <w:t>Servicios financieros</w:t>
            </w:r>
          </w:p>
        </w:tc>
        <w:tc>
          <w:tcPr>
            <w:tcW w:type="dxa" w:w="1440"/>
            <w:shd w:val="clear" w:color="auto" w:fill="F0F5FF"/>
          </w:tcPr>
          <w:p>
            <w:r>
              <w:rPr>
                <w:sz w:val="20"/>
              </w:rPr>
              <w:t>EE.UU.</w:t>
            </w:r>
          </w:p>
        </w:tc>
      </w:tr>
      <w:tr>
        <w:tc>
          <w:tcPr>
            <w:tcW w:type="dxa" w:w="1152"/>
            <w:shd w:val="clear" w:color="auto" w:fill="FFFFFF"/>
          </w:tcPr>
          <w:p>
            <w:pPr>
              <w:jc w:val="center"/>
            </w:pPr>
            <w:r>
              <w:rPr>
                <w:b/>
                <w:sz w:val="20"/>
              </w:rPr>
              <w:t>USB</w:t>
            </w:r>
          </w:p>
        </w:tc>
        <w:tc>
          <w:tcPr>
            <w:tcW w:type="dxa" w:w="3024"/>
            <w:shd w:val="clear" w:color="auto" w:fill="FFFFFF"/>
          </w:tcPr>
          <w:p>
            <w:r>
              <w:rPr>
                <w:sz w:val="20"/>
              </w:rPr>
              <w:t>U.S. Bancorp</w:t>
            </w:r>
          </w:p>
        </w:tc>
        <w:tc>
          <w:tcPr>
            <w:tcW w:type="dxa" w:w="3024"/>
            <w:shd w:val="clear" w:color="auto" w:fill="FFFFFF"/>
          </w:tcPr>
          <w:p>
            <w:r>
              <w:rPr>
                <w:sz w:val="20"/>
              </w:rPr>
              <w:t>Banca</w:t>
            </w:r>
          </w:p>
        </w:tc>
        <w:tc>
          <w:tcPr>
            <w:tcW w:type="dxa" w:w="1440"/>
            <w:shd w:val="clear" w:color="auto" w:fill="FFFFFF"/>
          </w:tcPr>
          <w:p>
            <w:r>
              <w:rPr>
                <w:sz w:val="20"/>
              </w:rPr>
              <w:t>EE.UU.</w:t>
            </w:r>
          </w:p>
        </w:tc>
      </w:tr>
      <w:tr>
        <w:tc>
          <w:tcPr>
            <w:tcW w:type="dxa" w:w="1152"/>
            <w:shd w:val="clear" w:color="auto" w:fill="F0F5FF"/>
          </w:tcPr>
          <w:p>
            <w:pPr>
              <w:jc w:val="center"/>
            </w:pPr>
            <w:r>
              <w:rPr>
                <w:b/>
                <w:sz w:val="20"/>
              </w:rPr>
              <w:t>PNC</w:t>
            </w:r>
          </w:p>
        </w:tc>
        <w:tc>
          <w:tcPr>
            <w:tcW w:type="dxa" w:w="3024"/>
            <w:shd w:val="clear" w:color="auto" w:fill="F0F5FF"/>
          </w:tcPr>
          <w:p>
            <w:r>
              <w:rPr>
                <w:sz w:val="20"/>
              </w:rPr>
              <w:t>PNC Financial Services</w:t>
            </w:r>
          </w:p>
        </w:tc>
        <w:tc>
          <w:tcPr>
            <w:tcW w:type="dxa" w:w="3024"/>
            <w:shd w:val="clear" w:color="auto" w:fill="F0F5FF"/>
          </w:tcPr>
          <w:p>
            <w:r>
              <w:rPr>
                <w:sz w:val="20"/>
              </w:rPr>
              <w:t>Banca</w:t>
            </w:r>
          </w:p>
        </w:tc>
        <w:tc>
          <w:tcPr>
            <w:tcW w:type="dxa" w:w="1440"/>
            <w:shd w:val="clear" w:color="auto" w:fill="F0F5FF"/>
          </w:tcPr>
          <w:p>
            <w:r>
              <w:rPr>
                <w:sz w:val="20"/>
              </w:rPr>
              <w:t>EE.UU.</w:t>
            </w:r>
          </w:p>
        </w:tc>
      </w:tr>
      <w:tr>
        <w:tc>
          <w:tcPr>
            <w:tcW w:type="dxa" w:w="1152"/>
            <w:shd w:val="clear" w:color="auto" w:fill="FFFFFF"/>
          </w:tcPr>
          <w:p>
            <w:pPr>
              <w:jc w:val="center"/>
            </w:pPr>
            <w:r>
              <w:rPr>
                <w:b/>
                <w:sz w:val="20"/>
              </w:rPr>
              <w:t>TFC</w:t>
            </w:r>
          </w:p>
        </w:tc>
        <w:tc>
          <w:tcPr>
            <w:tcW w:type="dxa" w:w="3024"/>
            <w:shd w:val="clear" w:color="auto" w:fill="FFFFFF"/>
          </w:tcPr>
          <w:p>
            <w:r>
              <w:rPr>
                <w:sz w:val="20"/>
              </w:rPr>
              <w:t>Truist Financial</w:t>
            </w:r>
          </w:p>
        </w:tc>
        <w:tc>
          <w:tcPr>
            <w:tcW w:type="dxa" w:w="3024"/>
            <w:shd w:val="clear" w:color="auto" w:fill="FFFFFF"/>
          </w:tcPr>
          <w:p>
            <w:r>
              <w:rPr>
                <w:sz w:val="20"/>
              </w:rPr>
              <w:t>Banca</w:t>
            </w:r>
          </w:p>
        </w:tc>
        <w:tc>
          <w:tcPr>
            <w:tcW w:type="dxa" w:w="1440"/>
            <w:shd w:val="clear" w:color="auto" w:fill="FFFFFF"/>
          </w:tcPr>
          <w:p>
            <w:r>
              <w:rPr>
                <w:sz w:val="20"/>
              </w:rPr>
              <w:t>EE.UU.</w:t>
            </w:r>
          </w:p>
        </w:tc>
      </w:tr>
      <w:tr>
        <w:tc>
          <w:tcPr>
            <w:tcW w:type="dxa" w:w="1152"/>
            <w:shd w:val="clear" w:color="auto" w:fill="F0F5FF"/>
          </w:tcPr>
          <w:p>
            <w:pPr>
              <w:jc w:val="center"/>
            </w:pPr>
            <w:r>
              <w:rPr>
                <w:b/>
                <w:sz w:val="20"/>
              </w:rPr>
              <w:t>COF</w:t>
            </w:r>
          </w:p>
        </w:tc>
        <w:tc>
          <w:tcPr>
            <w:tcW w:type="dxa" w:w="3024"/>
            <w:shd w:val="clear" w:color="auto" w:fill="F0F5FF"/>
          </w:tcPr>
          <w:p>
            <w:r>
              <w:rPr>
                <w:sz w:val="20"/>
              </w:rPr>
              <w:t>Capital One</w:t>
            </w:r>
          </w:p>
        </w:tc>
        <w:tc>
          <w:tcPr>
            <w:tcW w:type="dxa" w:w="3024"/>
            <w:shd w:val="clear" w:color="auto" w:fill="F0F5FF"/>
          </w:tcPr>
          <w:p>
            <w:r>
              <w:rPr>
                <w:sz w:val="20"/>
              </w:rPr>
              <w:t>Servicios financieros</w:t>
            </w:r>
          </w:p>
        </w:tc>
        <w:tc>
          <w:tcPr>
            <w:tcW w:type="dxa" w:w="1440"/>
            <w:shd w:val="clear" w:color="auto" w:fill="F0F5FF"/>
          </w:tcPr>
          <w:p>
            <w:r>
              <w:rPr>
                <w:sz w:val="20"/>
              </w:rPr>
              <w:t>EE.UU.</w:t>
            </w:r>
          </w:p>
        </w:tc>
      </w:tr>
      <w:tr>
        <w:tc>
          <w:tcPr>
            <w:tcW w:type="dxa" w:w="1152"/>
            <w:shd w:val="clear" w:color="auto" w:fill="FFFFFF"/>
          </w:tcPr>
          <w:p>
            <w:pPr>
              <w:jc w:val="center"/>
            </w:pPr>
            <w:r>
              <w:rPr>
                <w:b/>
                <w:sz w:val="20"/>
              </w:rPr>
              <w:t>C</w:t>
            </w:r>
          </w:p>
        </w:tc>
        <w:tc>
          <w:tcPr>
            <w:tcW w:type="dxa" w:w="3024"/>
            <w:shd w:val="clear" w:color="auto" w:fill="FFFFFF"/>
          </w:tcPr>
          <w:p>
            <w:r>
              <w:rPr>
                <w:sz w:val="20"/>
              </w:rPr>
              <w:t>Citigroup</w:t>
            </w:r>
          </w:p>
        </w:tc>
        <w:tc>
          <w:tcPr>
            <w:tcW w:type="dxa" w:w="3024"/>
            <w:shd w:val="clear" w:color="auto" w:fill="FFFFFF"/>
          </w:tcPr>
          <w:p>
            <w:r>
              <w:rPr>
                <w:sz w:val="20"/>
              </w:rPr>
              <w:t>Banca</w:t>
            </w:r>
          </w:p>
        </w:tc>
        <w:tc>
          <w:tcPr>
            <w:tcW w:type="dxa" w:w="1440"/>
            <w:shd w:val="clear" w:color="auto" w:fill="FFFFFF"/>
          </w:tcPr>
          <w:p>
            <w:r>
              <w:rPr>
                <w:sz w:val="20"/>
              </w:rPr>
              <w:t>EE.UU.</w:t>
            </w:r>
          </w:p>
        </w:tc>
      </w:tr>
      <w:tr>
        <w:tc>
          <w:tcPr>
            <w:tcW w:type="dxa" w:w="1152"/>
            <w:shd w:val="clear" w:color="auto" w:fill="F0F5FF"/>
          </w:tcPr>
          <w:p>
            <w:pPr>
              <w:jc w:val="center"/>
            </w:pPr>
            <w:r>
              <w:rPr>
                <w:b/>
                <w:sz w:val="20"/>
              </w:rPr>
              <w:t>AXP</w:t>
            </w:r>
          </w:p>
        </w:tc>
        <w:tc>
          <w:tcPr>
            <w:tcW w:type="dxa" w:w="3024"/>
            <w:shd w:val="clear" w:color="auto" w:fill="F0F5FF"/>
          </w:tcPr>
          <w:p>
            <w:r>
              <w:rPr>
                <w:sz w:val="20"/>
              </w:rPr>
              <w:t>American Express</w:t>
            </w:r>
          </w:p>
        </w:tc>
        <w:tc>
          <w:tcPr>
            <w:tcW w:type="dxa" w:w="3024"/>
            <w:shd w:val="clear" w:color="auto" w:fill="F0F5FF"/>
          </w:tcPr>
          <w:p>
            <w:r>
              <w:rPr>
                <w:sz w:val="20"/>
              </w:rPr>
              <w:t>Pagos / Servicios finan.</w:t>
            </w:r>
          </w:p>
        </w:tc>
        <w:tc>
          <w:tcPr>
            <w:tcW w:type="dxa" w:w="1440"/>
            <w:shd w:val="clear" w:color="auto" w:fill="F0F5FF"/>
          </w:tcPr>
          <w:p>
            <w:r>
              <w:rPr>
                <w:sz w:val="20"/>
              </w:rPr>
              <w:t>EE.UU.</w:t>
            </w:r>
          </w:p>
        </w:tc>
      </w:tr>
      <w:tr>
        <w:tc>
          <w:tcPr>
            <w:tcW w:type="dxa" w:w="1152"/>
            <w:shd w:val="clear" w:color="auto" w:fill="FFFFFF"/>
          </w:tcPr>
          <w:p>
            <w:pPr>
              <w:jc w:val="center"/>
            </w:pPr>
            <w:r>
              <w:rPr>
                <w:b/>
                <w:sz w:val="20"/>
              </w:rPr>
              <w:t>CME</w:t>
            </w:r>
          </w:p>
        </w:tc>
        <w:tc>
          <w:tcPr>
            <w:tcW w:type="dxa" w:w="3024"/>
            <w:shd w:val="clear" w:color="auto" w:fill="FFFFFF"/>
          </w:tcPr>
          <w:p>
            <w:r>
              <w:rPr>
                <w:sz w:val="20"/>
              </w:rPr>
              <w:t>CME Group</w:t>
            </w:r>
          </w:p>
        </w:tc>
        <w:tc>
          <w:tcPr>
            <w:tcW w:type="dxa" w:w="3024"/>
            <w:shd w:val="clear" w:color="auto" w:fill="FFFFFF"/>
          </w:tcPr>
          <w:p>
            <w:r>
              <w:rPr>
                <w:sz w:val="20"/>
              </w:rPr>
              <w:t>Mercados financieros</w:t>
            </w:r>
          </w:p>
        </w:tc>
        <w:tc>
          <w:tcPr>
            <w:tcW w:type="dxa" w:w="1440"/>
            <w:shd w:val="clear" w:color="auto" w:fill="FFFFFF"/>
          </w:tcPr>
          <w:p>
            <w:r>
              <w:rPr>
                <w:sz w:val="20"/>
              </w:rPr>
              <w:t>EE.UU.</w:t>
            </w:r>
          </w:p>
        </w:tc>
      </w:tr>
      <w:tr>
        <w:tc>
          <w:tcPr>
            <w:tcW w:type="dxa" w:w="1152"/>
            <w:shd w:val="clear" w:color="auto" w:fill="F0F5FF"/>
          </w:tcPr>
          <w:p>
            <w:pPr>
              <w:jc w:val="center"/>
            </w:pPr>
            <w:r>
              <w:rPr>
                <w:b/>
                <w:sz w:val="20"/>
              </w:rPr>
              <w:t>SPGI</w:t>
            </w:r>
          </w:p>
        </w:tc>
        <w:tc>
          <w:tcPr>
            <w:tcW w:type="dxa" w:w="3024"/>
            <w:shd w:val="clear" w:color="auto" w:fill="F0F5FF"/>
          </w:tcPr>
          <w:p>
            <w:r>
              <w:rPr>
                <w:sz w:val="20"/>
              </w:rPr>
              <w:t>S&amp;P Global</w:t>
            </w:r>
          </w:p>
        </w:tc>
        <w:tc>
          <w:tcPr>
            <w:tcW w:type="dxa" w:w="3024"/>
            <w:shd w:val="clear" w:color="auto" w:fill="F0F5FF"/>
          </w:tcPr>
          <w:p>
            <w:r>
              <w:rPr>
                <w:sz w:val="20"/>
              </w:rPr>
              <w:t>Información financiera</w:t>
            </w:r>
          </w:p>
        </w:tc>
        <w:tc>
          <w:tcPr>
            <w:tcW w:type="dxa" w:w="1440"/>
            <w:shd w:val="clear" w:color="auto" w:fill="F0F5FF"/>
          </w:tcPr>
          <w:p>
            <w:r>
              <w:rPr>
                <w:sz w:val="20"/>
              </w:rPr>
              <w:t>EE.UU.</w:t>
            </w:r>
          </w:p>
        </w:tc>
      </w:tr>
      <w:tr>
        <w:tc>
          <w:tcPr>
            <w:tcW w:type="dxa" w:w="1152"/>
            <w:shd w:val="clear" w:color="auto" w:fill="FFFFFF"/>
          </w:tcPr>
          <w:p>
            <w:pPr>
              <w:jc w:val="center"/>
            </w:pPr>
            <w:r>
              <w:rPr>
                <w:b/>
                <w:sz w:val="20"/>
              </w:rPr>
              <w:t>AON</w:t>
            </w:r>
          </w:p>
        </w:tc>
        <w:tc>
          <w:tcPr>
            <w:tcW w:type="dxa" w:w="3024"/>
            <w:shd w:val="clear" w:color="auto" w:fill="FFFFFF"/>
          </w:tcPr>
          <w:p>
            <w:r>
              <w:rPr>
                <w:sz w:val="20"/>
              </w:rPr>
              <w:t>Aon</w:t>
            </w:r>
          </w:p>
        </w:tc>
        <w:tc>
          <w:tcPr>
            <w:tcW w:type="dxa" w:w="3024"/>
            <w:shd w:val="clear" w:color="auto" w:fill="FFFFFF"/>
          </w:tcPr>
          <w:p>
            <w:r>
              <w:rPr>
                <w:sz w:val="20"/>
              </w:rPr>
              <w:t>Seguros / Consultoría</w:t>
            </w:r>
          </w:p>
        </w:tc>
        <w:tc>
          <w:tcPr>
            <w:tcW w:type="dxa" w:w="1440"/>
            <w:shd w:val="clear" w:color="auto" w:fill="FFFFFF"/>
          </w:tcPr>
          <w:p>
            <w:r>
              <w:rPr>
                <w:sz w:val="20"/>
              </w:rPr>
              <w:t>Irlanda *</w:t>
            </w:r>
          </w:p>
        </w:tc>
      </w:tr>
      <w:tr>
        <w:tc>
          <w:tcPr>
            <w:tcW w:type="dxa" w:w="1152"/>
            <w:shd w:val="clear" w:color="auto" w:fill="F0F5FF"/>
          </w:tcPr>
          <w:p>
            <w:pPr>
              <w:jc w:val="center"/>
            </w:pPr>
            <w:r>
              <w:rPr>
                <w:b/>
                <w:sz w:val="20"/>
              </w:rPr>
              <w:t>MMC</w:t>
            </w:r>
          </w:p>
        </w:tc>
        <w:tc>
          <w:tcPr>
            <w:tcW w:type="dxa" w:w="3024"/>
            <w:shd w:val="clear" w:color="auto" w:fill="F0F5FF"/>
          </w:tcPr>
          <w:p>
            <w:r>
              <w:rPr>
                <w:sz w:val="20"/>
              </w:rPr>
              <w:t>Marsh &amp; McLennan</w:t>
            </w:r>
          </w:p>
        </w:tc>
        <w:tc>
          <w:tcPr>
            <w:tcW w:type="dxa" w:w="3024"/>
            <w:shd w:val="clear" w:color="auto" w:fill="F0F5FF"/>
          </w:tcPr>
          <w:p>
            <w:r>
              <w:rPr>
                <w:sz w:val="20"/>
              </w:rPr>
              <w:t>Seguros / Consultoría</w:t>
            </w:r>
          </w:p>
        </w:tc>
        <w:tc>
          <w:tcPr>
            <w:tcW w:type="dxa" w:w="1440"/>
            <w:shd w:val="clear" w:color="auto" w:fill="F0F5FF"/>
          </w:tcPr>
          <w:p>
            <w:r>
              <w:rPr>
                <w:sz w:val="20"/>
              </w:rPr>
              <w:t>EE.UU.</w:t>
            </w:r>
          </w:p>
        </w:tc>
      </w:tr>
      <w:tr>
        <w:tc>
          <w:tcPr>
            <w:tcW w:type="dxa" w:w="1152"/>
            <w:shd w:val="clear" w:color="auto" w:fill="FFFFFF"/>
          </w:tcPr>
          <w:p>
            <w:pPr>
              <w:jc w:val="center"/>
            </w:pPr>
            <w:r>
              <w:rPr>
                <w:b/>
                <w:sz w:val="20"/>
              </w:rPr>
              <w:t>XOM</w:t>
            </w:r>
          </w:p>
        </w:tc>
        <w:tc>
          <w:tcPr>
            <w:tcW w:type="dxa" w:w="3024"/>
            <w:shd w:val="clear" w:color="auto" w:fill="FFFFFF"/>
          </w:tcPr>
          <w:p>
            <w:r>
              <w:rPr>
                <w:sz w:val="20"/>
              </w:rPr>
              <w:t>ExxonMobil</w:t>
            </w:r>
          </w:p>
        </w:tc>
        <w:tc>
          <w:tcPr>
            <w:tcW w:type="dxa" w:w="3024"/>
            <w:shd w:val="clear" w:color="auto" w:fill="FFFFFF"/>
          </w:tcPr>
          <w:p>
            <w:r>
              <w:rPr>
                <w:sz w:val="20"/>
              </w:rPr>
              <w:t>Energía / Petróleo</w:t>
            </w:r>
          </w:p>
        </w:tc>
        <w:tc>
          <w:tcPr>
            <w:tcW w:type="dxa" w:w="1440"/>
            <w:shd w:val="clear" w:color="auto" w:fill="FFFFFF"/>
          </w:tcPr>
          <w:p>
            <w:r>
              <w:rPr>
                <w:sz w:val="20"/>
              </w:rPr>
              <w:t>EE.UU.</w:t>
            </w:r>
          </w:p>
        </w:tc>
      </w:tr>
      <w:tr>
        <w:tc>
          <w:tcPr>
            <w:tcW w:type="dxa" w:w="1152"/>
            <w:shd w:val="clear" w:color="auto" w:fill="F0F5FF"/>
          </w:tcPr>
          <w:p>
            <w:pPr>
              <w:jc w:val="center"/>
            </w:pPr>
            <w:r>
              <w:rPr>
                <w:b/>
                <w:sz w:val="20"/>
              </w:rPr>
              <w:t>CVX</w:t>
            </w:r>
          </w:p>
        </w:tc>
        <w:tc>
          <w:tcPr>
            <w:tcW w:type="dxa" w:w="3024"/>
            <w:shd w:val="clear" w:color="auto" w:fill="F0F5FF"/>
          </w:tcPr>
          <w:p>
            <w:r>
              <w:rPr>
                <w:sz w:val="20"/>
              </w:rPr>
              <w:t>Chevron</w:t>
            </w:r>
          </w:p>
        </w:tc>
        <w:tc>
          <w:tcPr>
            <w:tcW w:type="dxa" w:w="3024"/>
            <w:shd w:val="clear" w:color="auto" w:fill="F0F5FF"/>
          </w:tcPr>
          <w:p>
            <w:r>
              <w:rPr>
                <w:sz w:val="20"/>
              </w:rPr>
              <w:t>Energía / Petróleo</w:t>
            </w:r>
          </w:p>
        </w:tc>
        <w:tc>
          <w:tcPr>
            <w:tcW w:type="dxa" w:w="1440"/>
            <w:shd w:val="clear" w:color="auto" w:fill="F0F5FF"/>
          </w:tcPr>
          <w:p>
            <w:r>
              <w:rPr>
                <w:sz w:val="20"/>
              </w:rPr>
              <w:t>EE.UU.</w:t>
            </w:r>
          </w:p>
        </w:tc>
      </w:tr>
      <w:tr>
        <w:tc>
          <w:tcPr>
            <w:tcW w:type="dxa" w:w="1152"/>
            <w:shd w:val="clear" w:color="auto" w:fill="FFFFFF"/>
          </w:tcPr>
          <w:p>
            <w:pPr>
              <w:jc w:val="center"/>
            </w:pPr>
            <w:r>
              <w:rPr>
                <w:b/>
                <w:sz w:val="20"/>
              </w:rPr>
              <w:t>EOG</w:t>
            </w:r>
          </w:p>
        </w:tc>
        <w:tc>
          <w:tcPr>
            <w:tcW w:type="dxa" w:w="3024"/>
            <w:shd w:val="clear" w:color="auto" w:fill="FFFFFF"/>
          </w:tcPr>
          <w:p>
            <w:r>
              <w:rPr>
                <w:sz w:val="20"/>
              </w:rPr>
              <w:t>EOG Resources</w:t>
            </w:r>
          </w:p>
        </w:tc>
        <w:tc>
          <w:tcPr>
            <w:tcW w:type="dxa" w:w="3024"/>
            <w:shd w:val="clear" w:color="auto" w:fill="FFFFFF"/>
          </w:tcPr>
          <w:p>
            <w:r>
              <w:rPr>
                <w:sz w:val="20"/>
              </w:rPr>
              <w:t>Energía / Gas</w:t>
            </w:r>
          </w:p>
        </w:tc>
        <w:tc>
          <w:tcPr>
            <w:tcW w:type="dxa" w:w="1440"/>
            <w:shd w:val="clear" w:color="auto" w:fill="FFFFFF"/>
          </w:tcPr>
          <w:p>
            <w:r>
              <w:rPr>
                <w:sz w:val="20"/>
              </w:rPr>
              <w:t>EE.UU.</w:t>
            </w:r>
          </w:p>
        </w:tc>
      </w:tr>
      <w:tr>
        <w:tc>
          <w:tcPr>
            <w:tcW w:type="dxa" w:w="1152"/>
            <w:shd w:val="clear" w:color="auto" w:fill="F0F5FF"/>
          </w:tcPr>
          <w:p>
            <w:pPr>
              <w:jc w:val="center"/>
            </w:pPr>
            <w:r>
              <w:rPr>
                <w:b/>
                <w:sz w:val="20"/>
              </w:rPr>
              <w:t>SLB</w:t>
            </w:r>
          </w:p>
        </w:tc>
        <w:tc>
          <w:tcPr>
            <w:tcW w:type="dxa" w:w="3024"/>
            <w:shd w:val="clear" w:color="auto" w:fill="F0F5FF"/>
          </w:tcPr>
          <w:p>
            <w:r>
              <w:rPr>
                <w:sz w:val="20"/>
              </w:rPr>
              <w:t>SLB (Schlumberger)</w:t>
            </w:r>
          </w:p>
        </w:tc>
        <w:tc>
          <w:tcPr>
            <w:tcW w:type="dxa" w:w="3024"/>
            <w:shd w:val="clear" w:color="auto" w:fill="F0F5FF"/>
          </w:tcPr>
          <w:p>
            <w:r>
              <w:rPr>
                <w:sz w:val="20"/>
              </w:rPr>
              <w:t>Servicios petroleros</w:t>
            </w:r>
          </w:p>
        </w:tc>
        <w:tc>
          <w:tcPr>
            <w:tcW w:type="dxa" w:w="1440"/>
            <w:shd w:val="clear" w:color="auto" w:fill="F0F5FF"/>
          </w:tcPr>
          <w:p>
            <w:r>
              <w:rPr>
                <w:sz w:val="20"/>
              </w:rPr>
              <w:t>EE.UU.</w:t>
            </w:r>
          </w:p>
        </w:tc>
      </w:tr>
      <w:tr>
        <w:tc>
          <w:tcPr>
            <w:tcW w:type="dxa" w:w="1152"/>
            <w:shd w:val="clear" w:color="auto" w:fill="FFFFFF"/>
          </w:tcPr>
          <w:p>
            <w:pPr>
              <w:jc w:val="center"/>
            </w:pPr>
            <w:r>
              <w:rPr>
                <w:b/>
                <w:sz w:val="20"/>
              </w:rPr>
              <w:t>FCX</w:t>
            </w:r>
          </w:p>
        </w:tc>
        <w:tc>
          <w:tcPr>
            <w:tcW w:type="dxa" w:w="3024"/>
            <w:shd w:val="clear" w:color="auto" w:fill="FFFFFF"/>
          </w:tcPr>
          <w:p>
            <w:r>
              <w:rPr>
                <w:sz w:val="20"/>
              </w:rPr>
              <w:t>Freeport-McMoRan</w:t>
            </w:r>
          </w:p>
        </w:tc>
        <w:tc>
          <w:tcPr>
            <w:tcW w:type="dxa" w:w="3024"/>
            <w:shd w:val="clear" w:color="auto" w:fill="FFFFFF"/>
          </w:tcPr>
          <w:p>
            <w:r>
              <w:rPr>
                <w:sz w:val="20"/>
              </w:rPr>
              <w:t>Minería / Cobre</w:t>
            </w:r>
          </w:p>
        </w:tc>
        <w:tc>
          <w:tcPr>
            <w:tcW w:type="dxa" w:w="1440"/>
            <w:shd w:val="clear" w:color="auto" w:fill="FFFFFF"/>
          </w:tcPr>
          <w:p>
            <w:r>
              <w:rPr>
                <w:sz w:val="20"/>
              </w:rPr>
              <w:t>EE.UU.</w:t>
            </w:r>
          </w:p>
        </w:tc>
      </w:tr>
      <w:tr>
        <w:tc>
          <w:tcPr>
            <w:tcW w:type="dxa" w:w="1152"/>
            <w:shd w:val="clear" w:color="auto" w:fill="F0F5FF"/>
          </w:tcPr>
          <w:p>
            <w:pPr>
              <w:jc w:val="center"/>
            </w:pPr>
            <w:r>
              <w:rPr>
                <w:b/>
                <w:sz w:val="20"/>
              </w:rPr>
              <w:t>HON</w:t>
            </w:r>
          </w:p>
        </w:tc>
        <w:tc>
          <w:tcPr>
            <w:tcW w:type="dxa" w:w="3024"/>
            <w:shd w:val="clear" w:color="auto" w:fill="F0F5FF"/>
          </w:tcPr>
          <w:p>
            <w:r>
              <w:rPr>
                <w:sz w:val="20"/>
              </w:rPr>
              <w:t>Honeywell</w:t>
            </w:r>
          </w:p>
        </w:tc>
        <w:tc>
          <w:tcPr>
            <w:tcW w:type="dxa" w:w="3024"/>
            <w:shd w:val="clear" w:color="auto" w:fill="F0F5FF"/>
          </w:tcPr>
          <w:p>
            <w:r>
              <w:rPr>
                <w:sz w:val="20"/>
              </w:rPr>
              <w:t>Industrial / Aeroespacial</w:t>
            </w:r>
          </w:p>
        </w:tc>
        <w:tc>
          <w:tcPr>
            <w:tcW w:type="dxa" w:w="1440"/>
            <w:shd w:val="clear" w:color="auto" w:fill="F0F5FF"/>
          </w:tcPr>
          <w:p>
            <w:r>
              <w:rPr>
                <w:sz w:val="20"/>
              </w:rPr>
              <w:t>EE.UU.</w:t>
            </w:r>
          </w:p>
        </w:tc>
      </w:tr>
      <w:tr>
        <w:tc>
          <w:tcPr>
            <w:tcW w:type="dxa" w:w="1152"/>
            <w:shd w:val="clear" w:color="auto" w:fill="FFFFFF"/>
          </w:tcPr>
          <w:p>
            <w:pPr>
              <w:jc w:val="center"/>
            </w:pPr>
            <w:r>
              <w:rPr>
                <w:b/>
                <w:sz w:val="20"/>
              </w:rPr>
              <w:t>CAT</w:t>
            </w:r>
          </w:p>
        </w:tc>
        <w:tc>
          <w:tcPr>
            <w:tcW w:type="dxa" w:w="3024"/>
            <w:shd w:val="clear" w:color="auto" w:fill="FFFFFF"/>
          </w:tcPr>
          <w:p>
            <w:r>
              <w:rPr>
                <w:sz w:val="20"/>
              </w:rPr>
              <w:t>Caterpillar</w:t>
            </w:r>
          </w:p>
        </w:tc>
        <w:tc>
          <w:tcPr>
            <w:tcW w:type="dxa" w:w="3024"/>
            <w:shd w:val="clear" w:color="auto" w:fill="FFFFFF"/>
          </w:tcPr>
          <w:p>
            <w:r>
              <w:rPr>
                <w:sz w:val="20"/>
              </w:rPr>
              <w:t>Maquinaria pesada</w:t>
            </w:r>
          </w:p>
        </w:tc>
        <w:tc>
          <w:tcPr>
            <w:tcW w:type="dxa" w:w="1440"/>
            <w:shd w:val="clear" w:color="auto" w:fill="FFFFFF"/>
          </w:tcPr>
          <w:p>
            <w:r>
              <w:rPr>
                <w:sz w:val="20"/>
              </w:rPr>
              <w:t>EE.UU.</w:t>
            </w:r>
          </w:p>
        </w:tc>
      </w:tr>
      <w:tr>
        <w:tc>
          <w:tcPr>
            <w:tcW w:type="dxa" w:w="1152"/>
            <w:shd w:val="clear" w:color="auto" w:fill="F0F5FF"/>
          </w:tcPr>
          <w:p>
            <w:pPr>
              <w:jc w:val="center"/>
            </w:pPr>
            <w:r>
              <w:rPr>
                <w:b/>
                <w:sz w:val="20"/>
              </w:rPr>
              <w:t>DE</w:t>
            </w:r>
          </w:p>
        </w:tc>
        <w:tc>
          <w:tcPr>
            <w:tcW w:type="dxa" w:w="3024"/>
            <w:shd w:val="clear" w:color="auto" w:fill="F0F5FF"/>
          </w:tcPr>
          <w:p>
            <w:r>
              <w:rPr>
                <w:sz w:val="20"/>
              </w:rPr>
              <w:t>John Deere</w:t>
            </w:r>
          </w:p>
        </w:tc>
        <w:tc>
          <w:tcPr>
            <w:tcW w:type="dxa" w:w="3024"/>
            <w:shd w:val="clear" w:color="auto" w:fill="F0F5FF"/>
          </w:tcPr>
          <w:p>
            <w:r>
              <w:rPr>
                <w:sz w:val="20"/>
              </w:rPr>
              <w:t>Maquinaria agrícola</w:t>
            </w:r>
          </w:p>
        </w:tc>
        <w:tc>
          <w:tcPr>
            <w:tcW w:type="dxa" w:w="1440"/>
            <w:shd w:val="clear" w:color="auto" w:fill="F0F5FF"/>
          </w:tcPr>
          <w:p>
            <w:r>
              <w:rPr>
                <w:sz w:val="20"/>
              </w:rPr>
              <w:t>EE.UU.</w:t>
            </w:r>
          </w:p>
        </w:tc>
      </w:tr>
      <w:tr>
        <w:tc>
          <w:tcPr>
            <w:tcW w:type="dxa" w:w="1152"/>
            <w:shd w:val="clear" w:color="auto" w:fill="FFFFFF"/>
          </w:tcPr>
          <w:p>
            <w:pPr>
              <w:jc w:val="center"/>
            </w:pPr>
            <w:r>
              <w:rPr>
                <w:b/>
                <w:sz w:val="20"/>
              </w:rPr>
              <w:t>BA</w:t>
            </w:r>
          </w:p>
        </w:tc>
        <w:tc>
          <w:tcPr>
            <w:tcW w:type="dxa" w:w="3024"/>
            <w:shd w:val="clear" w:color="auto" w:fill="FFFFFF"/>
          </w:tcPr>
          <w:p>
            <w:r>
              <w:rPr>
                <w:sz w:val="20"/>
              </w:rPr>
              <w:t>Boeing</w:t>
            </w:r>
          </w:p>
        </w:tc>
        <w:tc>
          <w:tcPr>
            <w:tcW w:type="dxa" w:w="3024"/>
            <w:shd w:val="clear" w:color="auto" w:fill="FFFFFF"/>
          </w:tcPr>
          <w:p>
            <w:r>
              <w:rPr>
                <w:sz w:val="20"/>
              </w:rPr>
              <w:t>Aeroespacial / Defensa</w:t>
            </w:r>
          </w:p>
        </w:tc>
        <w:tc>
          <w:tcPr>
            <w:tcW w:type="dxa" w:w="1440"/>
            <w:shd w:val="clear" w:color="auto" w:fill="FFFFFF"/>
          </w:tcPr>
          <w:p>
            <w:r>
              <w:rPr>
                <w:sz w:val="20"/>
              </w:rPr>
              <w:t>EE.UU.</w:t>
            </w:r>
          </w:p>
        </w:tc>
      </w:tr>
      <w:tr>
        <w:tc>
          <w:tcPr>
            <w:tcW w:type="dxa" w:w="1152"/>
            <w:shd w:val="clear" w:color="auto" w:fill="F0F5FF"/>
          </w:tcPr>
          <w:p>
            <w:pPr>
              <w:jc w:val="center"/>
            </w:pPr>
            <w:r>
              <w:rPr>
                <w:b/>
                <w:sz w:val="20"/>
              </w:rPr>
              <w:t>GE</w:t>
            </w:r>
          </w:p>
        </w:tc>
        <w:tc>
          <w:tcPr>
            <w:tcW w:type="dxa" w:w="3024"/>
            <w:shd w:val="clear" w:color="auto" w:fill="F0F5FF"/>
          </w:tcPr>
          <w:p>
            <w:r>
              <w:rPr>
                <w:sz w:val="20"/>
              </w:rPr>
              <w:t>GE Aerospace</w:t>
            </w:r>
          </w:p>
        </w:tc>
        <w:tc>
          <w:tcPr>
            <w:tcW w:type="dxa" w:w="3024"/>
            <w:shd w:val="clear" w:color="auto" w:fill="F0F5FF"/>
          </w:tcPr>
          <w:p>
            <w:r>
              <w:rPr>
                <w:sz w:val="20"/>
              </w:rPr>
              <w:t>Aeroespacial / Motores</w:t>
            </w:r>
          </w:p>
        </w:tc>
        <w:tc>
          <w:tcPr>
            <w:tcW w:type="dxa" w:w="1440"/>
            <w:shd w:val="clear" w:color="auto" w:fill="F0F5FF"/>
          </w:tcPr>
          <w:p>
            <w:r>
              <w:rPr>
                <w:sz w:val="20"/>
              </w:rPr>
              <w:t>EE.UU.</w:t>
            </w:r>
          </w:p>
        </w:tc>
      </w:tr>
      <w:tr>
        <w:tc>
          <w:tcPr>
            <w:tcW w:type="dxa" w:w="1152"/>
            <w:shd w:val="clear" w:color="auto" w:fill="FFFFFF"/>
          </w:tcPr>
          <w:p>
            <w:pPr>
              <w:jc w:val="center"/>
            </w:pPr>
            <w:r>
              <w:rPr>
                <w:b/>
                <w:sz w:val="20"/>
              </w:rPr>
              <w:t>UPS</w:t>
            </w:r>
          </w:p>
        </w:tc>
        <w:tc>
          <w:tcPr>
            <w:tcW w:type="dxa" w:w="3024"/>
            <w:shd w:val="clear" w:color="auto" w:fill="FFFFFF"/>
          </w:tcPr>
          <w:p>
            <w:r>
              <w:rPr>
                <w:sz w:val="20"/>
              </w:rPr>
              <w:t>United Parcel Service</w:t>
            </w:r>
          </w:p>
        </w:tc>
        <w:tc>
          <w:tcPr>
            <w:tcW w:type="dxa" w:w="3024"/>
            <w:shd w:val="clear" w:color="auto" w:fill="FFFFFF"/>
          </w:tcPr>
          <w:p>
            <w:r>
              <w:rPr>
                <w:sz w:val="20"/>
              </w:rPr>
              <w:t>Logística / Paquetería</w:t>
            </w:r>
          </w:p>
        </w:tc>
        <w:tc>
          <w:tcPr>
            <w:tcW w:type="dxa" w:w="1440"/>
            <w:shd w:val="clear" w:color="auto" w:fill="FFFFFF"/>
          </w:tcPr>
          <w:p>
            <w:r>
              <w:rPr>
                <w:sz w:val="20"/>
              </w:rPr>
              <w:t>EE.UU.</w:t>
            </w:r>
          </w:p>
        </w:tc>
      </w:tr>
      <w:tr>
        <w:tc>
          <w:tcPr>
            <w:tcW w:type="dxa" w:w="1152"/>
            <w:shd w:val="clear" w:color="auto" w:fill="F0F5FF"/>
          </w:tcPr>
          <w:p>
            <w:pPr>
              <w:jc w:val="center"/>
            </w:pPr>
            <w:r>
              <w:rPr>
                <w:b/>
                <w:sz w:val="20"/>
              </w:rPr>
              <w:t>RTX</w:t>
            </w:r>
          </w:p>
        </w:tc>
        <w:tc>
          <w:tcPr>
            <w:tcW w:type="dxa" w:w="3024"/>
            <w:shd w:val="clear" w:color="auto" w:fill="F0F5FF"/>
          </w:tcPr>
          <w:p>
            <w:r>
              <w:rPr>
                <w:sz w:val="20"/>
              </w:rPr>
              <w:t>RTX Corporation</w:t>
            </w:r>
          </w:p>
        </w:tc>
        <w:tc>
          <w:tcPr>
            <w:tcW w:type="dxa" w:w="3024"/>
            <w:shd w:val="clear" w:color="auto" w:fill="F0F5FF"/>
          </w:tcPr>
          <w:p>
            <w:r>
              <w:rPr>
                <w:sz w:val="20"/>
              </w:rPr>
              <w:t>Aeroespacial / Defensa</w:t>
            </w:r>
          </w:p>
        </w:tc>
        <w:tc>
          <w:tcPr>
            <w:tcW w:type="dxa" w:w="1440"/>
            <w:shd w:val="clear" w:color="auto" w:fill="F0F5FF"/>
          </w:tcPr>
          <w:p>
            <w:r>
              <w:rPr>
                <w:sz w:val="20"/>
              </w:rPr>
              <w:t>EE.UU.</w:t>
            </w:r>
          </w:p>
        </w:tc>
      </w:tr>
      <w:tr>
        <w:tc>
          <w:tcPr>
            <w:tcW w:type="dxa" w:w="1152"/>
            <w:shd w:val="clear" w:color="auto" w:fill="FFFFFF"/>
          </w:tcPr>
          <w:p>
            <w:pPr>
              <w:jc w:val="center"/>
            </w:pPr>
            <w:r>
              <w:rPr>
                <w:b/>
                <w:sz w:val="20"/>
              </w:rPr>
              <w:t>ETN</w:t>
            </w:r>
          </w:p>
        </w:tc>
        <w:tc>
          <w:tcPr>
            <w:tcW w:type="dxa" w:w="3024"/>
            <w:shd w:val="clear" w:color="auto" w:fill="FFFFFF"/>
          </w:tcPr>
          <w:p>
            <w:r>
              <w:rPr>
                <w:sz w:val="20"/>
              </w:rPr>
              <w:t>Eaton</w:t>
            </w:r>
          </w:p>
        </w:tc>
        <w:tc>
          <w:tcPr>
            <w:tcW w:type="dxa" w:w="3024"/>
            <w:shd w:val="clear" w:color="auto" w:fill="FFFFFF"/>
          </w:tcPr>
          <w:p>
            <w:r>
              <w:rPr>
                <w:sz w:val="20"/>
              </w:rPr>
              <w:t>Gestión de energía</w:t>
            </w:r>
          </w:p>
        </w:tc>
        <w:tc>
          <w:tcPr>
            <w:tcW w:type="dxa" w:w="1440"/>
            <w:shd w:val="clear" w:color="auto" w:fill="FFFFFF"/>
          </w:tcPr>
          <w:p>
            <w:r>
              <w:rPr>
                <w:sz w:val="20"/>
              </w:rPr>
              <w:t>Irlanda *</w:t>
            </w:r>
          </w:p>
        </w:tc>
      </w:tr>
      <w:tr>
        <w:tc>
          <w:tcPr>
            <w:tcW w:type="dxa" w:w="1152"/>
            <w:shd w:val="clear" w:color="auto" w:fill="F0F5FF"/>
          </w:tcPr>
          <w:p>
            <w:pPr>
              <w:jc w:val="center"/>
            </w:pPr>
            <w:r>
              <w:rPr>
                <w:b/>
                <w:sz w:val="20"/>
              </w:rPr>
              <w:t>ITW</w:t>
            </w:r>
          </w:p>
        </w:tc>
        <w:tc>
          <w:tcPr>
            <w:tcW w:type="dxa" w:w="3024"/>
            <w:shd w:val="clear" w:color="auto" w:fill="F0F5FF"/>
          </w:tcPr>
          <w:p>
            <w:r>
              <w:rPr>
                <w:sz w:val="20"/>
              </w:rPr>
              <w:t>Illinois Tool Works</w:t>
            </w:r>
          </w:p>
        </w:tc>
        <w:tc>
          <w:tcPr>
            <w:tcW w:type="dxa" w:w="3024"/>
            <w:shd w:val="clear" w:color="auto" w:fill="F0F5FF"/>
          </w:tcPr>
          <w:p>
            <w:r>
              <w:rPr>
                <w:sz w:val="20"/>
              </w:rPr>
              <w:t>Industrial diversificado</w:t>
            </w:r>
          </w:p>
        </w:tc>
        <w:tc>
          <w:tcPr>
            <w:tcW w:type="dxa" w:w="1440"/>
            <w:shd w:val="clear" w:color="auto" w:fill="F0F5FF"/>
          </w:tcPr>
          <w:p>
            <w:r>
              <w:rPr>
                <w:sz w:val="20"/>
              </w:rPr>
              <w:t>EE.UU.</w:t>
            </w:r>
          </w:p>
        </w:tc>
      </w:tr>
      <w:tr>
        <w:tc>
          <w:tcPr>
            <w:tcW w:type="dxa" w:w="1152"/>
            <w:shd w:val="clear" w:color="auto" w:fill="FFFFFF"/>
          </w:tcPr>
          <w:p>
            <w:pPr>
              <w:jc w:val="center"/>
            </w:pPr>
            <w:r>
              <w:rPr>
                <w:b/>
                <w:sz w:val="20"/>
              </w:rPr>
              <w:t>FDX</w:t>
            </w:r>
          </w:p>
        </w:tc>
        <w:tc>
          <w:tcPr>
            <w:tcW w:type="dxa" w:w="3024"/>
            <w:shd w:val="clear" w:color="auto" w:fill="FFFFFF"/>
          </w:tcPr>
          <w:p>
            <w:r>
              <w:rPr>
                <w:sz w:val="20"/>
              </w:rPr>
              <w:t>FedEx</w:t>
            </w:r>
          </w:p>
        </w:tc>
        <w:tc>
          <w:tcPr>
            <w:tcW w:type="dxa" w:w="3024"/>
            <w:shd w:val="clear" w:color="auto" w:fill="FFFFFF"/>
          </w:tcPr>
          <w:p>
            <w:r>
              <w:rPr>
                <w:sz w:val="20"/>
              </w:rPr>
              <w:t>Logística / Paquetería</w:t>
            </w:r>
          </w:p>
        </w:tc>
        <w:tc>
          <w:tcPr>
            <w:tcW w:type="dxa" w:w="1440"/>
            <w:shd w:val="clear" w:color="auto" w:fill="FFFFFF"/>
          </w:tcPr>
          <w:p>
            <w:r>
              <w:rPr>
                <w:sz w:val="20"/>
              </w:rPr>
              <w:t>EE.UU.</w:t>
            </w:r>
          </w:p>
        </w:tc>
      </w:tr>
      <w:tr>
        <w:tc>
          <w:tcPr>
            <w:tcW w:type="dxa" w:w="1152"/>
            <w:shd w:val="clear" w:color="auto" w:fill="F0F5FF"/>
          </w:tcPr>
          <w:p>
            <w:pPr>
              <w:jc w:val="center"/>
            </w:pPr>
            <w:r>
              <w:rPr>
                <w:b/>
                <w:sz w:val="20"/>
              </w:rPr>
              <w:t>LIN</w:t>
            </w:r>
          </w:p>
        </w:tc>
        <w:tc>
          <w:tcPr>
            <w:tcW w:type="dxa" w:w="3024"/>
            <w:shd w:val="clear" w:color="auto" w:fill="F0F5FF"/>
          </w:tcPr>
          <w:p>
            <w:r>
              <w:rPr>
                <w:sz w:val="20"/>
              </w:rPr>
              <w:t>Linde</w:t>
            </w:r>
          </w:p>
        </w:tc>
        <w:tc>
          <w:tcPr>
            <w:tcW w:type="dxa" w:w="3024"/>
            <w:shd w:val="clear" w:color="auto" w:fill="F0F5FF"/>
          </w:tcPr>
          <w:p>
            <w:r>
              <w:rPr>
                <w:sz w:val="20"/>
              </w:rPr>
              <w:t>Gases industriales</w:t>
            </w:r>
          </w:p>
        </w:tc>
        <w:tc>
          <w:tcPr>
            <w:tcW w:type="dxa" w:w="1440"/>
            <w:shd w:val="clear" w:color="auto" w:fill="F0F5FF"/>
          </w:tcPr>
          <w:p>
            <w:r>
              <w:rPr>
                <w:sz w:val="20"/>
              </w:rPr>
              <w:t>Reino Unido *</w:t>
            </w:r>
          </w:p>
        </w:tc>
      </w:tr>
      <w:tr>
        <w:tc>
          <w:tcPr>
            <w:tcW w:type="dxa" w:w="1152"/>
            <w:shd w:val="clear" w:color="auto" w:fill="FFFFFF"/>
          </w:tcPr>
          <w:p>
            <w:pPr>
              <w:jc w:val="center"/>
            </w:pPr>
            <w:r>
              <w:rPr>
                <w:b/>
                <w:sz w:val="20"/>
              </w:rPr>
              <w:t>PLD</w:t>
            </w:r>
          </w:p>
        </w:tc>
        <w:tc>
          <w:tcPr>
            <w:tcW w:type="dxa" w:w="3024"/>
            <w:shd w:val="clear" w:color="auto" w:fill="FFFFFF"/>
          </w:tcPr>
          <w:p>
            <w:r>
              <w:rPr>
                <w:sz w:val="20"/>
              </w:rPr>
              <w:t>Prologis</w:t>
            </w:r>
          </w:p>
        </w:tc>
        <w:tc>
          <w:tcPr>
            <w:tcW w:type="dxa" w:w="3024"/>
            <w:shd w:val="clear" w:color="auto" w:fill="FFFFFF"/>
          </w:tcPr>
          <w:p>
            <w:r>
              <w:rPr>
                <w:sz w:val="20"/>
              </w:rPr>
              <w:t>Real Estate / Logística</w:t>
            </w:r>
          </w:p>
        </w:tc>
        <w:tc>
          <w:tcPr>
            <w:tcW w:type="dxa" w:w="1440"/>
            <w:shd w:val="clear" w:color="auto" w:fill="FFFFFF"/>
          </w:tcPr>
          <w:p>
            <w:r>
              <w:rPr>
                <w:sz w:val="20"/>
              </w:rPr>
              <w:t>EE.UU.</w:t>
            </w:r>
          </w:p>
        </w:tc>
      </w:tr>
      <w:tr>
        <w:tc>
          <w:tcPr>
            <w:tcW w:type="dxa" w:w="1152"/>
            <w:shd w:val="clear" w:color="auto" w:fill="F0F5FF"/>
          </w:tcPr>
          <w:p>
            <w:pPr>
              <w:jc w:val="center"/>
            </w:pPr>
            <w:r>
              <w:rPr>
                <w:b/>
                <w:sz w:val="20"/>
              </w:rPr>
              <w:t>AMT</w:t>
            </w:r>
          </w:p>
        </w:tc>
        <w:tc>
          <w:tcPr>
            <w:tcW w:type="dxa" w:w="3024"/>
            <w:shd w:val="clear" w:color="auto" w:fill="F0F5FF"/>
          </w:tcPr>
          <w:p>
            <w:r>
              <w:rPr>
                <w:sz w:val="20"/>
              </w:rPr>
              <w:t>American Tower</w:t>
            </w:r>
          </w:p>
        </w:tc>
        <w:tc>
          <w:tcPr>
            <w:tcW w:type="dxa" w:w="3024"/>
            <w:shd w:val="clear" w:color="auto" w:fill="F0F5FF"/>
          </w:tcPr>
          <w:p>
            <w:r>
              <w:rPr>
                <w:sz w:val="20"/>
              </w:rPr>
              <w:t>Infraestructura / Torres</w:t>
            </w:r>
          </w:p>
        </w:tc>
        <w:tc>
          <w:tcPr>
            <w:tcW w:type="dxa" w:w="1440"/>
            <w:shd w:val="clear" w:color="auto" w:fill="F0F5FF"/>
          </w:tcPr>
          <w:p>
            <w:r>
              <w:rPr>
                <w:sz w:val="20"/>
              </w:rPr>
              <w:t>EE.UU.</w:t>
            </w:r>
          </w:p>
        </w:tc>
      </w:tr>
      <w:tr>
        <w:tc>
          <w:tcPr>
            <w:tcW w:type="dxa" w:w="1152"/>
            <w:shd w:val="clear" w:color="auto" w:fill="FFFFFF"/>
          </w:tcPr>
          <w:p>
            <w:pPr>
              <w:jc w:val="center"/>
            </w:pPr>
            <w:r>
              <w:rPr>
                <w:b/>
                <w:sz w:val="20"/>
              </w:rPr>
              <w:t>NEE</w:t>
            </w:r>
          </w:p>
        </w:tc>
        <w:tc>
          <w:tcPr>
            <w:tcW w:type="dxa" w:w="3024"/>
            <w:shd w:val="clear" w:color="auto" w:fill="FFFFFF"/>
          </w:tcPr>
          <w:p>
            <w:r>
              <w:rPr>
                <w:sz w:val="20"/>
              </w:rPr>
              <w:t>NextEra Energy</w:t>
            </w:r>
          </w:p>
        </w:tc>
        <w:tc>
          <w:tcPr>
            <w:tcW w:type="dxa" w:w="3024"/>
            <w:shd w:val="clear" w:color="auto" w:fill="FFFFFF"/>
          </w:tcPr>
          <w:p>
            <w:r>
              <w:rPr>
                <w:sz w:val="20"/>
              </w:rPr>
              <w:t>Energías renovables</w:t>
            </w:r>
          </w:p>
        </w:tc>
        <w:tc>
          <w:tcPr>
            <w:tcW w:type="dxa" w:w="1440"/>
            <w:shd w:val="clear" w:color="auto" w:fill="FFFFFF"/>
          </w:tcPr>
          <w:p>
            <w:r>
              <w:rPr>
                <w:sz w:val="20"/>
              </w:rPr>
              <w:t>EE.UU.</w:t>
            </w:r>
          </w:p>
        </w:tc>
      </w:tr>
      <w:tr>
        <w:tc>
          <w:tcPr>
            <w:tcW w:type="dxa" w:w="1152"/>
            <w:shd w:val="clear" w:color="auto" w:fill="F0F5FF"/>
          </w:tcPr>
          <w:p>
            <w:pPr>
              <w:jc w:val="center"/>
            </w:pPr>
            <w:r>
              <w:rPr>
                <w:b/>
                <w:sz w:val="20"/>
              </w:rPr>
              <w:t>DUK</w:t>
            </w:r>
          </w:p>
        </w:tc>
        <w:tc>
          <w:tcPr>
            <w:tcW w:type="dxa" w:w="3024"/>
            <w:shd w:val="clear" w:color="auto" w:fill="F0F5FF"/>
          </w:tcPr>
          <w:p>
            <w:r>
              <w:rPr>
                <w:sz w:val="20"/>
              </w:rPr>
              <w:t>Duke Energy</w:t>
            </w:r>
          </w:p>
        </w:tc>
        <w:tc>
          <w:tcPr>
            <w:tcW w:type="dxa" w:w="3024"/>
            <w:shd w:val="clear" w:color="auto" w:fill="F0F5FF"/>
          </w:tcPr>
          <w:p>
            <w:r>
              <w:rPr>
                <w:sz w:val="20"/>
              </w:rPr>
              <w:t>Electricidad / Gas</w:t>
            </w:r>
          </w:p>
        </w:tc>
        <w:tc>
          <w:tcPr>
            <w:tcW w:type="dxa" w:w="1440"/>
            <w:shd w:val="clear" w:color="auto" w:fill="F0F5FF"/>
          </w:tcPr>
          <w:p>
            <w:r>
              <w:rPr>
                <w:sz w:val="20"/>
              </w:rPr>
              <w:t>EE.UU.</w:t>
            </w:r>
          </w:p>
        </w:tc>
      </w:tr>
      <w:tr>
        <w:tc>
          <w:tcPr>
            <w:tcW w:type="dxa" w:w="1152"/>
            <w:shd w:val="clear" w:color="auto" w:fill="FFFFFF"/>
          </w:tcPr>
          <w:p>
            <w:pPr>
              <w:jc w:val="center"/>
            </w:pPr>
            <w:r>
              <w:rPr>
                <w:b/>
                <w:sz w:val="20"/>
              </w:rPr>
              <w:t>SO</w:t>
            </w:r>
          </w:p>
        </w:tc>
        <w:tc>
          <w:tcPr>
            <w:tcW w:type="dxa" w:w="3024"/>
            <w:shd w:val="clear" w:color="auto" w:fill="FFFFFF"/>
          </w:tcPr>
          <w:p>
            <w:r>
              <w:rPr>
                <w:sz w:val="20"/>
              </w:rPr>
              <w:t>Southern Company</w:t>
            </w:r>
          </w:p>
        </w:tc>
        <w:tc>
          <w:tcPr>
            <w:tcW w:type="dxa" w:w="3024"/>
            <w:shd w:val="clear" w:color="auto" w:fill="FFFFFF"/>
          </w:tcPr>
          <w:p>
            <w:r>
              <w:rPr>
                <w:sz w:val="20"/>
              </w:rPr>
              <w:t>Electricidad / Gas</w:t>
            </w:r>
          </w:p>
        </w:tc>
        <w:tc>
          <w:tcPr>
            <w:tcW w:type="dxa" w:w="1440"/>
            <w:shd w:val="clear" w:color="auto" w:fill="FFFFFF"/>
          </w:tcPr>
          <w:p>
            <w:r>
              <w:rPr>
                <w:sz w:val="20"/>
              </w:rPr>
              <w:t>EE.UU.</w:t>
            </w:r>
          </w:p>
        </w:tc>
      </w:tr>
      <w:tr>
        <w:tc>
          <w:tcPr>
            <w:tcW w:type="dxa" w:w="1152"/>
            <w:shd w:val="clear" w:color="auto" w:fill="F0F5FF"/>
          </w:tcPr>
          <w:p>
            <w:pPr>
              <w:jc w:val="center"/>
            </w:pPr>
            <w:r>
              <w:rPr>
                <w:b/>
                <w:sz w:val="20"/>
              </w:rPr>
              <w:t>V</w:t>
            </w:r>
          </w:p>
        </w:tc>
        <w:tc>
          <w:tcPr>
            <w:tcW w:type="dxa" w:w="3024"/>
            <w:shd w:val="clear" w:color="auto" w:fill="F0F5FF"/>
          </w:tcPr>
          <w:p>
            <w:r>
              <w:rPr>
                <w:sz w:val="20"/>
              </w:rPr>
              <w:t>Visa</w:t>
            </w:r>
          </w:p>
        </w:tc>
        <w:tc>
          <w:tcPr>
            <w:tcW w:type="dxa" w:w="3024"/>
            <w:shd w:val="clear" w:color="auto" w:fill="F0F5FF"/>
          </w:tcPr>
          <w:p>
            <w:r>
              <w:rPr>
                <w:sz w:val="20"/>
              </w:rPr>
              <w:t>Pagos</w:t>
            </w:r>
          </w:p>
        </w:tc>
        <w:tc>
          <w:tcPr>
            <w:tcW w:type="dxa" w:w="1440"/>
            <w:shd w:val="clear" w:color="auto" w:fill="F0F5FF"/>
          </w:tcPr>
          <w:p>
            <w:r>
              <w:rPr>
                <w:sz w:val="20"/>
              </w:rPr>
              <w:t>EE.UU.</w:t>
            </w:r>
          </w:p>
        </w:tc>
      </w:tr>
      <w:tr>
        <w:tc>
          <w:tcPr>
            <w:tcW w:type="dxa" w:w="1152"/>
            <w:shd w:val="clear" w:color="auto" w:fill="FFFFFF"/>
          </w:tcPr>
          <w:p>
            <w:pPr>
              <w:jc w:val="center"/>
            </w:pPr>
            <w:r>
              <w:rPr>
                <w:b/>
                <w:sz w:val="20"/>
              </w:rPr>
              <w:t>MA</w:t>
            </w:r>
          </w:p>
        </w:tc>
        <w:tc>
          <w:tcPr>
            <w:tcW w:type="dxa" w:w="3024"/>
            <w:shd w:val="clear" w:color="auto" w:fill="FFFFFF"/>
          </w:tcPr>
          <w:p>
            <w:r>
              <w:rPr>
                <w:sz w:val="20"/>
              </w:rPr>
              <w:t>Mastercard</w:t>
            </w:r>
          </w:p>
        </w:tc>
        <w:tc>
          <w:tcPr>
            <w:tcW w:type="dxa" w:w="3024"/>
            <w:shd w:val="clear" w:color="auto" w:fill="FFFFFF"/>
          </w:tcPr>
          <w:p>
            <w:r>
              <w:rPr>
                <w:sz w:val="20"/>
              </w:rPr>
              <w:t>Pagos</w:t>
            </w:r>
          </w:p>
        </w:tc>
        <w:tc>
          <w:tcPr>
            <w:tcW w:type="dxa" w:w="1440"/>
            <w:shd w:val="clear" w:color="auto" w:fill="FFFFFF"/>
          </w:tcPr>
          <w:p>
            <w:r>
              <w:rPr>
                <w:sz w:val="20"/>
              </w:rPr>
              <w:t>EE.UU.</w:t>
            </w:r>
          </w:p>
        </w:tc>
      </w:tr>
      <w:tr>
        <w:tc>
          <w:tcPr>
            <w:tcW w:type="dxa" w:w="1152"/>
            <w:shd w:val="clear" w:color="auto" w:fill="F0F5FF"/>
          </w:tcPr>
          <w:p>
            <w:pPr>
              <w:jc w:val="center"/>
            </w:pPr>
            <w:r>
              <w:rPr>
                <w:b/>
                <w:sz w:val="20"/>
              </w:rPr>
              <w:t>ACN</w:t>
            </w:r>
          </w:p>
        </w:tc>
        <w:tc>
          <w:tcPr>
            <w:tcW w:type="dxa" w:w="3024"/>
            <w:shd w:val="clear" w:color="auto" w:fill="F0F5FF"/>
          </w:tcPr>
          <w:p>
            <w:r>
              <w:rPr>
                <w:sz w:val="20"/>
              </w:rPr>
              <w:t>Accenture</w:t>
            </w:r>
          </w:p>
        </w:tc>
        <w:tc>
          <w:tcPr>
            <w:tcW w:type="dxa" w:w="3024"/>
            <w:shd w:val="clear" w:color="auto" w:fill="F0F5FF"/>
          </w:tcPr>
          <w:p>
            <w:r>
              <w:rPr>
                <w:sz w:val="20"/>
              </w:rPr>
              <w:t>Tecnología / Consultoría</w:t>
            </w:r>
          </w:p>
        </w:tc>
        <w:tc>
          <w:tcPr>
            <w:tcW w:type="dxa" w:w="1440"/>
            <w:shd w:val="clear" w:color="auto" w:fill="F0F5FF"/>
          </w:tcPr>
          <w:p>
            <w:r>
              <w:rPr>
                <w:sz w:val="20"/>
              </w:rPr>
              <w:t>Irlanda *</w:t>
            </w:r>
          </w:p>
        </w:tc>
      </w:tr>
      <w:tr>
        <w:tc>
          <w:tcPr>
            <w:tcW w:type="dxa" w:w="1152"/>
            <w:shd w:val="clear" w:color="auto" w:fill="FFFFFF"/>
          </w:tcPr>
          <w:p>
            <w:pPr>
              <w:jc w:val="center"/>
            </w:pPr>
            <w:r>
              <w:rPr>
                <w:b/>
                <w:sz w:val="20"/>
              </w:rPr>
              <w:t>ADP</w:t>
            </w:r>
          </w:p>
        </w:tc>
        <w:tc>
          <w:tcPr>
            <w:tcW w:type="dxa" w:w="3024"/>
            <w:shd w:val="clear" w:color="auto" w:fill="FFFFFF"/>
          </w:tcPr>
          <w:p>
            <w:r>
              <w:rPr>
                <w:sz w:val="20"/>
              </w:rPr>
              <w:t>ADP</w:t>
            </w:r>
          </w:p>
        </w:tc>
        <w:tc>
          <w:tcPr>
            <w:tcW w:type="dxa" w:w="3024"/>
            <w:shd w:val="clear" w:color="auto" w:fill="FFFFFF"/>
          </w:tcPr>
          <w:p>
            <w:r>
              <w:rPr>
                <w:sz w:val="20"/>
              </w:rPr>
              <w:t>Tecnología / RRHH</w:t>
            </w:r>
          </w:p>
        </w:tc>
        <w:tc>
          <w:tcPr>
            <w:tcW w:type="dxa" w:w="1440"/>
            <w:shd w:val="clear" w:color="auto" w:fill="FFFFFF"/>
          </w:tcPr>
          <w:p>
            <w:r>
              <w:rPr>
                <w:sz w:val="20"/>
              </w:rPr>
              <w:t>EE.UU.</w:t>
            </w:r>
          </w:p>
        </w:tc>
      </w:tr>
    </w:tbl>
    <w:p/>
    <w:p>
      <w:r>
        <w:rPr>
          <w:i/>
          <w:color w:val="444455"/>
          <w:sz w:val="18"/>
        </w:rPr>
        <w:t>* Compañías incorporadas legalmente fuera de EE.UU. por razones fiscales, pero con sede operativa y cotización principal en bolsas americanas (NYSE/NASDAQ). A efectos prácticos se comportan como empresas estadounidenses.</w:t>
      </w:r>
    </w:p>
    <w:p>
      <w:r>
        <w:br w:type="page"/>
      </w:r>
    </w:p>
    <w:p>
      <w:pPr>
        <w:pStyle w:val="Heading1"/>
        <w:spacing w:before="280" w:after="80"/>
      </w:pPr>
      <w:r>
        <w:rPr>
          <w:color w:val="0077CC"/>
        </w:rPr>
        <w:t>3. Pestaña Análisis</w:t>
      </w:r>
    </w:p>
    <w:p>
      <w:pPr>
        <w:spacing w:after="80"/>
      </w:pPr>
      <w:r>
        <w:rPr>
          <w:b w:val="0"/>
          <w:sz w:val="22"/>
        </w:rPr>
        <w:t>La pestaña Análisis (Análisis Predictivo) es el corazón del sistema de IA: permite predecir la señal de uno o varios activos bajo demanda, revisar el detalle del modelo y del backtest, y lanzar una orden de Paper Trading manualmente, todo desde el navegador.</w:t>
      </w:r>
    </w:p>
    <w:p/>
    <w:p>
      <w:pPr>
        <w:pStyle w:val="Heading2"/>
        <w:spacing w:before="160" w:after="80"/>
      </w:pPr>
      <w:r>
        <w:rPr>
          <w:color w:val="0099FF"/>
        </w:rPr>
        <w:t>3.1  Filtros de la cabecera</w:t>
      </w:r>
    </w:p>
    <w:p>
      <w:pPr>
        <w:jc w:val="center"/>
      </w:pPr>
      <w:r>
        <w:drawing>
          <wp:inline xmlns:a="http://schemas.openxmlformats.org/drawingml/2006/main" xmlns:pic="http://schemas.openxmlformats.org/drawingml/2006/picture">
            <wp:extent cx="5760720" cy="904371"/>
            <wp:docPr id="4" name="Picture 4"/>
            <wp:cNvGraphicFramePr>
              <a:graphicFrameLocks noChangeAspect="1"/>
            </wp:cNvGraphicFramePr>
            <a:graphic>
              <a:graphicData uri="http://schemas.openxmlformats.org/drawingml/2006/picture">
                <pic:pic>
                  <pic:nvPicPr>
                    <pic:cNvPr id="0" name="analisis_filtros.png"/>
                    <pic:cNvPicPr/>
                  </pic:nvPicPr>
                  <pic:blipFill>
                    <a:blip r:embed="rId12"/>
                    <a:stretch>
                      <a:fillRect/>
                    </a:stretch>
                  </pic:blipFill>
                  <pic:spPr>
                    <a:xfrm>
                      <a:off x="0" y="0"/>
                      <a:ext cx="5760720" cy="904371"/>
                    </a:xfrm>
                    <a:prstGeom prst="rect"/>
                  </pic:spPr>
                </pic:pic>
              </a:graphicData>
            </a:graphic>
          </wp:inline>
        </w:drawing>
      </w:r>
    </w:p>
    <w:p>
      <w:pPr>
        <w:jc w:val="center"/>
      </w:pPr>
      <w:r>
        <w:rPr>
          <w:i/>
          <w:color w:val="444455"/>
          <w:sz w:val="18"/>
        </w:rPr>
        <w:t>Cabecera de filtros de la Pestaña Análisis.</w:t>
      </w:r>
    </w:p>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0077CC"/>
          </w:tcPr>
          <w:p>
            <w:pPr>
              <w:jc w:val="center"/>
            </w:pPr>
            <w:r>
              <w:rPr>
                <w:b/>
                <w:color w:val="FFFFFF"/>
                <w:sz w:val="20"/>
              </w:rPr>
              <w:t>Filtro</w:t>
            </w:r>
          </w:p>
        </w:tc>
        <w:tc>
          <w:tcPr>
            <w:tcW w:type="dxa" w:w="6768"/>
            <w:shd w:val="clear" w:color="auto" w:fill="0077CC"/>
          </w:tcPr>
          <w:p>
            <w:pPr>
              <w:jc w:val="center"/>
            </w:pPr>
            <w:r>
              <w:rPr>
                <w:b/>
                <w:color w:val="FFFFFF"/>
                <w:sz w:val="20"/>
              </w:rPr>
              <w:t>Descripción</w:t>
            </w:r>
          </w:p>
        </w:tc>
      </w:tr>
      <w:tr>
        <w:tc>
          <w:tcPr>
            <w:tcW w:type="dxa" w:w="2592"/>
            <w:shd w:val="clear" w:color="auto" w:fill="F0F5FF"/>
          </w:tcPr>
          <w:p>
            <w:pPr>
              <w:jc w:val="center"/>
            </w:pPr>
            <w:r>
              <w:rPr>
                <w:b/>
                <w:sz w:val="20"/>
              </w:rPr>
              <w:t>Símbolos</w:t>
              <w:br/>
              <w:t>(combo + Agregar)</w:t>
            </w:r>
          </w:p>
        </w:tc>
        <w:tc>
          <w:tcPr>
            <w:tcW w:type="dxa" w:w="6768"/>
            <w:shd w:val="clear" w:color="auto" w:fill="F0F5FF"/>
          </w:tcPr>
          <w:p>
            <w:r>
              <w:rPr>
                <w:sz w:val="20"/>
              </w:rPr>
              <w:t>Selecciona un ticker del desplegable (activos del S&amp;P100, o 'Todos (S&amp;P100)' para analizar los 100 de golpe) y pulsa '+ Agregar' para sumarlo como chip. Puedes añadir varios chips para analizar varios activos en una sola ejecución; cada chip lleva una '×' para quitarlo. Si no añades ningún chip, solo se analiza el símbolo del desplegable.</w:t>
            </w:r>
          </w:p>
        </w:tc>
      </w:tr>
      <w:tr>
        <w:tc>
          <w:tcPr>
            <w:tcW w:type="dxa" w:w="2592"/>
            <w:shd w:val="clear" w:color="auto" w:fill="FFFFFF"/>
          </w:tcPr>
          <w:p>
            <w:pPr>
              <w:jc w:val="center"/>
            </w:pPr>
            <w:r>
              <w:rPr>
                <w:b/>
                <w:sz w:val="20"/>
              </w:rPr>
              <w:t>Periodo</w:t>
              <w:br/>
              <w:t>(Desde / Hasta)</w:t>
            </w:r>
          </w:p>
        </w:tc>
        <w:tc>
          <w:tcPr>
            <w:tcW w:type="dxa" w:w="6768"/>
            <w:shd w:val="clear" w:color="auto" w:fill="FFFFFF"/>
          </w:tcPr>
          <w:p>
            <w:r>
              <w:rPr>
                <w:sz w:val="20"/>
              </w:rPr>
              <w:t>Rango de fechas (DD-MM-AAAA) del histórico de precios que se usará para entrenar el modelo. 'Desde' por defecto es 01-01-2022; dejar 'Hasta' en blanco equivale a usar datos hasta hoy.</w:t>
            </w:r>
          </w:p>
        </w:tc>
      </w:tr>
      <w:tr>
        <w:tc>
          <w:tcPr>
            <w:tcW w:type="dxa" w:w="2592"/>
            <w:shd w:val="clear" w:color="auto" w:fill="F0F5FF"/>
          </w:tcPr>
          <w:p>
            <w:pPr>
              <w:jc w:val="center"/>
            </w:pPr>
            <w:r>
              <w:rPr>
                <w:b/>
                <w:sz w:val="20"/>
              </w:rPr>
              <w:t>Umbral señal (%)</w:t>
            </w:r>
          </w:p>
        </w:tc>
        <w:tc>
          <w:tcPr>
            <w:tcW w:type="dxa" w:w="6768"/>
            <w:shd w:val="clear" w:color="auto" w:fill="F0F5FF"/>
          </w:tcPr>
          <w:p>
            <w:r>
              <w:rPr>
                <w:sz w:val="20"/>
              </w:rPr>
              <w:t>Retorno mínimo que debe predecir el modelo para que la señal se considere COMPRAR o VENDER en firme (por defecto 0.5%). Entre ese umbral y el 40% del mismo, la señal se marca como 'débil' (p. ej. 'COMPRAR (débil)'); por debajo, la señal es NEUTRAL.</w:t>
            </w:r>
          </w:p>
        </w:tc>
      </w:tr>
      <w:tr>
        <w:tc>
          <w:tcPr>
            <w:tcW w:type="dxa" w:w="2592"/>
            <w:shd w:val="clear" w:color="auto" w:fill="FFFFFF"/>
          </w:tcPr>
          <w:p>
            <w:pPr>
              <w:jc w:val="center"/>
            </w:pPr>
            <w:r>
              <w:rPr>
                <w:b/>
                <w:sz w:val="20"/>
              </w:rPr>
              <w:t>Ejecución</w:t>
              <w:br/>
              <w:t>(switch + importe $)</w:t>
            </w:r>
          </w:p>
        </w:tc>
        <w:tc>
          <w:tcPr>
            <w:tcW w:type="dxa" w:w="6768"/>
            <w:shd w:val="clear" w:color="auto" w:fill="FFFFFF"/>
          </w:tcPr>
          <w:p>
            <w:r>
              <w:rPr>
                <w:sz w:val="20"/>
              </w:rPr>
              <w:t>El interruptor 'Ejecutar Compra/Venta' despliega un campo de importe en dólares por operación. Actualmente estos controles quedan reservados para una futura ejecución automática — la ejecución real de órdenes se realiza de forma manual con el panel descrito en el apartado 3.3, tras seleccionar una fila con señal COMPRAR o VENDER.</w:t>
            </w:r>
          </w:p>
        </w:tc>
      </w:tr>
    </w:tbl>
    <w:p/>
    <w:p>
      <w:pPr>
        <w:pStyle w:val="Heading2"/>
        <w:spacing w:before="160" w:after="80"/>
      </w:pPr>
      <w:r>
        <w:rPr>
          <w:color w:val="0099FF"/>
        </w:rPr>
        <w:t>3.2  Botones "Predecir Señal" y "Actualizar resultados reales"</w:t>
      </w:r>
    </w:p>
    <w:tbl>
      <w:tblPr>
        <w:tblStyle w:val="TableGrid"/>
        <w:tblW w:type="auto" w:w="0"/>
        <w:jc w:val="center"/>
        <w:tblLook w:firstColumn="1" w:firstRow="1" w:lastColumn="0" w:lastRow="0" w:noHBand="0" w:noVBand="1" w:val="04A0"/>
      </w:tblPr>
      <w:tblGrid>
        <w:gridCol w:w="4561"/>
        <w:gridCol w:w="4561"/>
      </w:tblGrid>
      <w:tr>
        <w:tc>
          <w:tcPr>
            <w:tcW w:type="dxa" w:w="2736"/>
            <w:shd w:val="clear" w:color="auto" w:fill="0077CC"/>
          </w:tcPr>
          <w:p>
            <w:pPr>
              <w:jc w:val="center"/>
            </w:pPr>
            <w:r>
              <w:rPr>
                <w:b/>
                <w:color w:val="FFFFFF"/>
                <w:sz w:val="20"/>
              </w:rPr>
              <w:t>Botón</w:t>
            </w:r>
          </w:p>
        </w:tc>
        <w:tc>
          <w:tcPr>
            <w:tcW w:type="dxa" w:w="6624"/>
            <w:shd w:val="clear" w:color="auto" w:fill="0077CC"/>
          </w:tcPr>
          <w:p>
            <w:pPr>
              <w:jc w:val="center"/>
            </w:pPr>
            <w:r>
              <w:rPr>
                <w:b/>
                <w:color w:val="FFFFFF"/>
                <w:sz w:val="20"/>
              </w:rPr>
              <w:t>Qué hace</w:t>
            </w:r>
          </w:p>
        </w:tc>
      </w:tr>
      <w:tr>
        <w:tc>
          <w:tcPr>
            <w:tcW w:type="dxa" w:w="2736"/>
            <w:shd w:val="clear" w:color="auto" w:fill="F0F5FF"/>
          </w:tcPr>
          <w:p>
            <w:pPr>
              <w:jc w:val="center"/>
            </w:pPr>
            <w:r>
              <w:rPr>
                <w:b/>
                <w:sz w:val="20"/>
              </w:rPr>
              <w:t>Predecir Señal</w:t>
            </w:r>
          </w:p>
        </w:tc>
        <w:tc>
          <w:tcPr>
            <w:tcW w:type="dxa" w:w="6624"/>
            <w:shd w:val="clear" w:color="auto" w:fill="F0F5FF"/>
          </w:tcPr>
          <w:p>
            <w:r>
              <w:rPr>
                <w:sz w:val="20"/>
              </w:rPr>
              <w:t>Ejecuta el pipeline completo de IA para cada símbolo seleccionado (o los 100 del S&amp;P100 si se eligió 'Todos'): descarga el histórico de precios (Yahoo Finance), earnings/dividendos, sentimiento de noticias y ratio put/call de opciones; calcula los indicadores técnicos; entrena (o reutiliza si ya está en caché de hoy) el ensemble XGBoost+LightGBM; genera la señal sobre la última sesión; obtiene la cotización Ask/Bid en tiempo real de Alpaca; y calcula el backtest fuera de muestra (OOS). Los resultados rellenan la tabla, y el mensaje de estado indica cuántos símbolos se analizaron correctamente y cuáles fallaron. Al hacer clic en una fila de la tabla se despliegan las tarjetas de detalle (Señal, Detalle del modelo, Factores influyentes y Backtest) y, si la señal es COMPRAR o VENDER, el panel de ejecución manual.</w:t>
            </w:r>
          </w:p>
        </w:tc>
      </w:tr>
      <w:tr>
        <w:tc>
          <w:tcPr>
            <w:tcW w:type="dxa" w:w="2736"/>
            <w:shd w:val="clear" w:color="auto" w:fill="FFFFFF"/>
          </w:tcPr>
          <w:p>
            <w:pPr>
              <w:jc w:val="center"/>
            </w:pPr>
            <w:r>
              <w:rPr>
                <w:b/>
                <w:sz w:val="20"/>
              </w:rPr>
              <w:t>Actualizar resultados reales</w:t>
            </w:r>
          </w:p>
        </w:tc>
        <w:tc>
          <w:tcPr>
            <w:tcW w:type="dxa" w:w="6624"/>
            <w:shd w:val="clear" w:color="auto" w:fill="FFFFFF"/>
          </w:tcPr>
          <w:p>
            <w:r>
              <w:rPr>
                <w:sz w:val="20"/>
              </w:rPr>
              <w:t>No genera predicciones nuevas: recorre el histórico de predicciones ya guardadas en la carpeta 'Analisis_Predicción' y, para aquellas cuya fecha objetivo ya pasó pero todavía no tienen resultado real registrado, descarga el precio de cierre real de Yahoo Finance y rellena el retorno real, la fecha real y si la predicción acertó o no, recalculando el porcentaje de aciertos acumulado. Se usa para auditar con el tiempo la fiabilidad real del modelo.</w:t>
            </w:r>
          </w:p>
        </w:tc>
      </w:tr>
    </w:tbl>
    <w:p/>
    <w:p>
      <w:pPr>
        <w:pStyle w:val="Heading2"/>
        <w:spacing w:before="160" w:after="80"/>
      </w:pPr>
      <w:r>
        <w:rPr>
          <w:color w:val="0099FF"/>
        </w:rPr>
        <w:t>3.3  Tabla de resultados</w:t>
      </w:r>
    </w:p>
    <w:p>
      <w:pPr>
        <w:spacing w:after="80"/>
      </w:pPr>
      <w:r>
        <w:rPr>
          <w:b w:val="0"/>
          <w:sz w:val="22"/>
        </w:rPr>
        <w:t>Al terminar 'Predecir Señal', cada símbolo analizado aparece como una fila con estas columnas:</w:t>
      </w:r>
    </w:p>
    <w:p>
      <w:pPr>
        <w:jc w:val="center"/>
      </w:pPr>
      <w:r>
        <w:drawing>
          <wp:inline xmlns:a="http://schemas.openxmlformats.org/drawingml/2006/main" xmlns:pic="http://schemas.openxmlformats.org/drawingml/2006/picture">
            <wp:extent cx="5760720" cy="1170456"/>
            <wp:docPr id="5" name="Picture 5"/>
            <wp:cNvGraphicFramePr>
              <a:graphicFrameLocks noChangeAspect="1"/>
            </wp:cNvGraphicFramePr>
            <a:graphic>
              <a:graphicData uri="http://schemas.openxmlformats.org/drawingml/2006/picture">
                <pic:pic>
                  <pic:nvPicPr>
                    <pic:cNvPr id="0" name="analisis_tabla.png"/>
                    <pic:cNvPicPr/>
                  </pic:nvPicPr>
                  <pic:blipFill>
                    <a:blip r:embed="rId13"/>
                    <a:stretch>
                      <a:fillRect/>
                    </a:stretch>
                  </pic:blipFill>
                  <pic:spPr>
                    <a:xfrm>
                      <a:off x="0" y="0"/>
                      <a:ext cx="5760720" cy="1170456"/>
                    </a:xfrm>
                    <a:prstGeom prst="rect"/>
                  </pic:spPr>
                </pic:pic>
              </a:graphicData>
            </a:graphic>
          </wp:inline>
        </w:drawing>
      </w:r>
    </w:p>
    <w:p>
      <w:pPr>
        <w:jc w:val="center"/>
      </w:pPr>
      <w:r>
        <w:rPr>
          <w:i/>
          <w:color w:val="444455"/>
          <w:sz w:val="18"/>
        </w:rPr>
        <w:t>Tabla de resultados de la Pestaña Análisis.</w:t>
      </w:r>
    </w:p>
    <w:p/>
    <w:tbl>
      <w:tblPr>
        <w:tblStyle w:val="TableGrid"/>
        <w:tblW w:type="auto" w:w="0"/>
        <w:jc w:val="center"/>
        <w:tblLook w:firstColumn="1" w:firstRow="1" w:lastColumn="0" w:lastRow="0" w:noHBand="0" w:noVBand="1" w:val="04A0"/>
      </w:tblPr>
      <w:tblGrid>
        <w:gridCol w:w="4561"/>
        <w:gridCol w:w="4561"/>
      </w:tblGrid>
      <w:tr>
        <w:tc>
          <w:tcPr>
            <w:tcW w:type="dxa" w:w="2304"/>
            <w:shd w:val="clear" w:color="auto" w:fill="0077CC"/>
          </w:tcPr>
          <w:p>
            <w:pPr>
              <w:jc w:val="center"/>
            </w:pPr>
            <w:r>
              <w:rPr>
                <w:b/>
                <w:color w:val="FFFFFF"/>
                <w:sz w:val="20"/>
              </w:rPr>
              <w:t>Columna</w:t>
            </w:r>
          </w:p>
        </w:tc>
        <w:tc>
          <w:tcPr>
            <w:tcW w:type="dxa" w:w="7056"/>
            <w:shd w:val="clear" w:color="auto" w:fill="0077CC"/>
          </w:tcPr>
          <w:p>
            <w:pPr>
              <w:jc w:val="center"/>
            </w:pPr>
            <w:r>
              <w:rPr>
                <w:b/>
                <w:color w:val="FFFFFF"/>
                <w:sz w:val="20"/>
              </w:rPr>
              <w:t>Descripción</w:t>
            </w:r>
          </w:p>
        </w:tc>
      </w:tr>
      <w:tr>
        <w:tc>
          <w:tcPr>
            <w:tcW w:type="dxa" w:w="2304"/>
            <w:shd w:val="clear" w:color="auto" w:fill="F0F5FF"/>
          </w:tcPr>
          <w:p>
            <w:pPr>
              <w:jc w:val="center"/>
            </w:pPr>
            <w:r>
              <w:rPr>
                <w:b/>
                <w:sz w:val="20"/>
              </w:rPr>
              <w:t>Acción</w:t>
            </w:r>
          </w:p>
        </w:tc>
        <w:tc>
          <w:tcPr>
            <w:tcW w:type="dxa" w:w="7056"/>
            <w:shd w:val="clear" w:color="auto" w:fill="F0F5FF"/>
          </w:tcPr>
          <w:p>
            <w:r>
              <w:rPr>
                <w:sz w:val="20"/>
              </w:rPr>
              <w:t>El ticker del símbolo analizado (p. ej. AAPL, TSLA).</w:t>
            </w:r>
          </w:p>
        </w:tc>
      </w:tr>
      <w:tr>
        <w:tc>
          <w:tcPr>
            <w:tcW w:type="dxa" w:w="2304"/>
            <w:shd w:val="clear" w:color="auto" w:fill="FFFFFF"/>
          </w:tcPr>
          <w:p>
            <w:pPr>
              <w:jc w:val="center"/>
            </w:pPr>
            <w:r>
              <w:rPr>
                <w:b/>
                <w:sz w:val="20"/>
              </w:rPr>
              <w:t>Señal</w:t>
            </w:r>
          </w:p>
        </w:tc>
        <w:tc>
          <w:tcPr>
            <w:tcW w:type="dxa" w:w="7056"/>
            <w:shd w:val="clear" w:color="auto" w:fill="FFFFFF"/>
          </w:tcPr>
          <w:p>
            <w:r>
              <w:rPr>
                <w:sz w:val="20"/>
              </w:rPr>
              <w:t>COMPRAR / VENDER / COMPRAR (débil) / VENDER (débil) / NEUTRAL, según el retorno predicho frente al umbral configurado (ver 3.1). Se muestra como una etiqueta de color: verde (COMPRAR), rojo (VENDER), naranja (señal débil) o gris (NEUTRAL).</w:t>
            </w:r>
          </w:p>
        </w:tc>
      </w:tr>
      <w:tr>
        <w:tc>
          <w:tcPr>
            <w:tcW w:type="dxa" w:w="2304"/>
            <w:shd w:val="clear" w:color="auto" w:fill="F0F5FF"/>
          </w:tcPr>
          <w:p>
            <w:pPr>
              <w:jc w:val="center"/>
            </w:pPr>
            <w:r>
              <w:rPr>
                <w:b/>
                <w:sz w:val="20"/>
              </w:rPr>
              <w:t>Ganancia esperada</w:t>
            </w:r>
          </w:p>
        </w:tc>
        <w:tc>
          <w:tcPr>
            <w:tcW w:type="dxa" w:w="7056"/>
            <w:shd w:val="clear" w:color="auto" w:fill="F0F5FF"/>
          </w:tcPr>
          <w:p>
            <w:r>
              <w:rPr>
                <w:sz w:val="20"/>
              </w:rPr>
              <w:t>El retorno que el modelo predice para el próximo día hábil, en porcentaje (p. ej. +1.24% o −0.85%). Es el mismo número que determina la señal de la columna anterior.</w:t>
            </w:r>
          </w:p>
        </w:tc>
      </w:tr>
      <w:tr>
        <w:tc>
          <w:tcPr>
            <w:tcW w:type="dxa" w:w="2304"/>
            <w:shd w:val="clear" w:color="auto" w:fill="FFFFFF"/>
          </w:tcPr>
          <w:p>
            <w:pPr>
              <w:jc w:val="center"/>
            </w:pPr>
            <w:r>
              <w:rPr>
                <w:b/>
                <w:sz w:val="20"/>
              </w:rPr>
              <w:t>Precio</w:t>
            </w:r>
          </w:p>
        </w:tc>
        <w:tc>
          <w:tcPr>
            <w:tcW w:type="dxa" w:w="7056"/>
            <w:shd w:val="clear" w:color="auto" w:fill="FFFFFF"/>
          </w:tcPr>
          <w:p>
            <w:r>
              <w:rPr>
                <w:sz w:val="20"/>
              </w:rPr>
              <w:t>Precio de venta (ask) obtenido de Alpaca en el momento del análisis. Aparece como '—' si no se pudo obtener cotización.</w:t>
            </w:r>
          </w:p>
        </w:tc>
      </w:tr>
      <w:tr>
        <w:tc>
          <w:tcPr>
            <w:tcW w:type="dxa" w:w="2304"/>
            <w:shd w:val="clear" w:color="auto" w:fill="F0F5FF"/>
          </w:tcPr>
          <w:p>
            <w:pPr>
              <w:jc w:val="center"/>
            </w:pPr>
            <w:r>
              <w:rPr>
                <w:b/>
                <w:sz w:val="20"/>
              </w:rPr>
              <w:t>Confianza</w:t>
            </w:r>
          </w:p>
        </w:tc>
        <w:tc>
          <w:tcPr>
            <w:tcW w:type="dxa" w:w="7056"/>
            <w:shd w:val="clear" w:color="auto" w:fill="F0F5FF"/>
          </w:tcPr>
          <w:p>
            <w:r>
              <w:rPr>
                <w:sz w:val="20"/>
              </w:rPr>
              <w:t>Alta / Media / Baja, según la precisión direccional histórica del modelo (oos_dir_acc): Alta ≥ 54%, Media entre 51% y 54%, Baja &lt; 51%. Cuanta más confianza, más fiable ha sido el modelo prediciendo la dirección (subida/bajada) en el pasado.</w:t>
            </w:r>
          </w:p>
        </w:tc>
      </w:tr>
      <w:tr>
        <w:tc>
          <w:tcPr>
            <w:tcW w:type="dxa" w:w="2304"/>
            <w:shd w:val="clear" w:color="auto" w:fill="FFFFFF"/>
          </w:tcPr>
          <w:p>
            <w:pPr>
              <w:jc w:val="center"/>
            </w:pPr>
            <w:r>
              <w:rPr>
                <w:b/>
                <w:sz w:val="20"/>
              </w:rPr>
              <w:t>Estado</w:t>
            </w:r>
          </w:p>
        </w:tc>
        <w:tc>
          <w:tcPr>
            <w:tcW w:type="dxa" w:w="7056"/>
            <w:shd w:val="clear" w:color="auto" w:fill="FFFFFF"/>
          </w:tcPr>
          <w:p>
            <w:r>
              <w:rPr>
                <w:sz w:val="20"/>
              </w:rPr>
              <w:t>'✓ OK' si el análisis se completó correctamente, o '✗' seguido del motivo si ese símbolo falló (p. ej. por falta de datos).</w:t>
            </w:r>
          </w:p>
        </w:tc>
      </w:tr>
    </w:tbl>
    <w:p/>
    <w:p>
      <w:pPr>
        <w:pStyle w:val="Heading2"/>
        <w:spacing w:before="160" w:after="80"/>
      </w:pPr>
      <w:r>
        <w:rPr>
          <w:color w:val="0099FF"/>
        </w:rPr>
        <w:t>3.4  Tarjetas de detalle (al seleccionar un símbolo)</w:t>
      </w:r>
    </w:p>
    <w:p>
      <w:pPr>
        <w:spacing w:after="80"/>
      </w:pPr>
      <w:r>
        <w:rPr>
          <w:b w:val="0"/>
          <w:sz w:val="22"/>
        </w:rPr>
        <w:t>Al hacer clic en una fila de la tabla, se despliegan cuatro tarjetas con el análisis completo de ese símbolo:</w:t>
      </w:r>
    </w:p>
    <w:p>
      <w:pPr>
        <w:jc w:val="center"/>
      </w:pPr>
      <w:r>
        <w:drawing>
          <wp:inline xmlns:a="http://schemas.openxmlformats.org/drawingml/2006/main" xmlns:pic="http://schemas.openxmlformats.org/drawingml/2006/picture">
            <wp:extent cx="5760720" cy="1235484"/>
            <wp:docPr id="6" name="Picture 6"/>
            <wp:cNvGraphicFramePr>
              <a:graphicFrameLocks noChangeAspect="1"/>
            </wp:cNvGraphicFramePr>
            <a:graphic>
              <a:graphicData uri="http://schemas.openxmlformats.org/drawingml/2006/picture">
                <pic:pic>
                  <pic:nvPicPr>
                    <pic:cNvPr id="0" name="analisis_detalle.png"/>
                    <pic:cNvPicPr/>
                  </pic:nvPicPr>
                  <pic:blipFill>
                    <a:blip r:embed="rId14"/>
                    <a:stretch>
                      <a:fillRect/>
                    </a:stretch>
                  </pic:blipFill>
                  <pic:spPr>
                    <a:xfrm>
                      <a:off x="0" y="0"/>
                      <a:ext cx="5760720" cy="1235484"/>
                    </a:xfrm>
                    <a:prstGeom prst="rect"/>
                  </pic:spPr>
                </pic:pic>
              </a:graphicData>
            </a:graphic>
          </wp:inline>
        </w:drawing>
      </w:r>
    </w:p>
    <w:p>
      <w:pPr>
        <w:jc w:val="center"/>
      </w:pPr>
      <w:r>
        <w:rPr>
          <w:i/>
          <w:color w:val="444455"/>
          <w:sz w:val="18"/>
        </w:rPr>
        <w:t>Tarjetas de detalle: Señal, Modelo, Factores y Backtest.</w:t>
      </w:r>
    </w:p>
    <w:p/>
    <w:p>
      <w:pPr>
        <w:spacing w:after="80"/>
      </w:pPr>
      <w:r>
        <w:rPr>
          <w:b w:val="0"/>
          <w:sz w:val="22"/>
        </w:rPr>
        <w:t>Muchos de estos datos usan nombres técnicos en inglés (nombres de indicadores, métricas de backtest...). Junto a cada uno de ellos hay un icono ⓘ: al pasar el ratón por encima aparece una explicación en español de qué es y qué significa.</w:t>
      </w:r>
    </w:p>
    <w:p>
      <w:pPr>
        <w:jc w:val="center"/>
      </w:pPr>
      <w:r>
        <w:drawing>
          <wp:inline xmlns:a="http://schemas.openxmlformats.org/drawingml/2006/main" xmlns:pic="http://schemas.openxmlformats.org/drawingml/2006/picture">
            <wp:extent cx="5760720" cy="1235484"/>
            <wp:docPr id="7" name="Picture 7"/>
            <wp:cNvGraphicFramePr>
              <a:graphicFrameLocks noChangeAspect="1"/>
            </wp:cNvGraphicFramePr>
            <a:graphic>
              <a:graphicData uri="http://schemas.openxmlformats.org/drawingml/2006/picture">
                <pic:pic>
                  <pic:nvPicPr>
                    <pic:cNvPr id="0" name="analisis_tooltip.png"/>
                    <pic:cNvPicPr/>
                  </pic:nvPicPr>
                  <pic:blipFill>
                    <a:blip r:embed="rId15"/>
                    <a:stretch>
                      <a:fillRect/>
                    </a:stretch>
                  </pic:blipFill>
                  <pic:spPr>
                    <a:xfrm>
                      <a:off x="0" y="0"/>
                      <a:ext cx="5760720" cy="1235484"/>
                    </a:xfrm>
                    <a:prstGeom prst="rect"/>
                  </pic:spPr>
                </pic:pic>
              </a:graphicData>
            </a:graphic>
          </wp:inline>
        </w:drawing>
      </w:r>
    </w:p>
    <w:p>
      <w:pPr>
        <w:jc w:val="center"/>
      </w:pPr>
      <w:r>
        <w:rPr>
          <w:i/>
          <w:color w:val="444455"/>
          <w:sz w:val="18"/>
        </w:rPr>
        <w:t>Ejemplo: tooltip en español al pasar el ratón sobre 'log_ret_1d'.</w:t>
      </w:r>
    </w:p>
    <w:p/>
    <w:tbl>
      <w:tblPr>
        <w:tblStyle w:val="TableGrid"/>
        <w:tblW w:type="auto" w:w="0"/>
        <w:jc w:val="center"/>
        <w:tblLook w:firstColumn="1" w:firstRow="1" w:lastColumn="0" w:lastRow="0" w:noHBand="0" w:noVBand="1" w:val="04A0"/>
      </w:tblPr>
      <w:tblGrid>
        <w:gridCol w:w="4561"/>
        <w:gridCol w:w="4561"/>
      </w:tblGrid>
      <w:tr>
        <w:tc>
          <w:tcPr>
            <w:tcW w:type="dxa" w:w="2304"/>
            <w:shd w:val="clear" w:color="auto" w:fill="0077CC"/>
          </w:tcPr>
          <w:p>
            <w:pPr>
              <w:jc w:val="center"/>
            </w:pPr>
            <w:r>
              <w:rPr>
                <w:b/>
                <w:color w:val="FFFFFF"/>
                <w:sz w:val="20"/>
              </w:rPr>
              <w:t>Tarjeta</w:t>
            </w:r>
          </w:p>
        </w:tc>
        <w:tc>
          <w:tcPr>
            <w:tcW w:type="dxa" w:w="7056"/>
            <w:shd w:val="clear" w:color="auto" w:fill="0077CC"/>
          </w:tcPr>
          <w:p>
            <w:pPr>
              <w:jc w:val="center"/>
            </w:pPr>
            <w:r>
              <w:rPr>
                <w:b/>
                <w:color w:val="FFFFFF"/>
                <w:sz w:val="20"/>
              </w:rPr>
              <w:t>Qué muestra</w:t>
            </w:r>
          </w:p>
        </w:tc>
      </w:tr>
      <w:tr>
        <w:tc>
          <w:tcPr>
            <w:tcW w:type="dxa" w:w="2304"/>
            <w:shd w:val="clear" w:color="auto" w:fill="F0F5FF"/>
          </w:tcPr>
          <w:p>
            <w:pPr>
              <w:jc w:val="center"/>
            </w:pPr>
            <w:r>
              <w:rPr>
                <w:b/>
                <w:sz w:val="20"/>
              </w:rPr>
              <w:t>Señal de trading</w:t>
            </w:r>
          </w:p>
        </w:tc>
        <w:tc>
          <w:tcPr>
            <w:tcW w:type="dxa" w:w="7056"/>
            <w:shd w:val="clear" w:color="auto" w:fill="F0F5FF"/>
          </w:tcPr>
          <w:p>
            <w:r>
              <w:rPr>
                <w:sz w:val="20"/>
              </w:rPr>
              <w:t>La señal en grande con su color, el retorno predicho, el precio Ask y Bid en tiempo real (la diferencia entre ambos es el 'spread', el coste implícito de operar) y, si hay datos, el sentimiento de las noticias recientes (de −1 muy negativo a +1 muy positivo).</w:t>
            </w:r>
          </w:p>
        </w:tc>
      </w:tr>
      <w:tr>
        <w:tc>
          <w:tcPr>
            <w:tcW w:type="dxa" w:w="2304"/>
            <w:shd w:val="clear" w:color="auto" w:fill="FFFFFF"/>
          </w:tcPr>
          <w:p>
            <w:pPr>
              <w:jc w:val="center"/>
            </w:pPr>
            <w:r>
              <w:rPr>
                <w:b/>
                <w:sz w:val="20"/>
              </w:rPr>
              <w:t>Detalle del modelo</w:t>
            </w:r>
          </w:p>
        </w:tc>
        <w:tc>
          <w:tcPr>
            <w:tcW w:type="dxa" w:w="7056"/>
            <w:shd w:val="clear" w:color="auto" w:fill="FFFFFF"/>
          </w:tcPr>
          <w:p>
            <w:r>
              <w:rPr>
                <w:sz w:val="20"/>
              </w:rPr>
              <w:t>El nivel de confianza (Alta/Media/Baja) y la precisión direccional del modelo (% de veces que acertó si el precio subía o bajaba en el histórico de validación), el error medio de predicción (OOS MAE) y el número de muestras (días históricos) usadas para entrenar.</w:t>
            </w:r>
          </w:p>
        </w:tc>
      </w:tr>
      <w:tr>
        <w:tc>
          <w:tcPr>
            <w:tcW w:type="dxa" w:w="2304"/>
            <w:shd w:val="clear" w:color="auto" w:fill="F0F5FF"/>
          </w:tcPr>
          <w:p>
            <w:pPr>
              <w:jc w:val="center"/>
            </w:pPr>
            <w:r>
              <w:rPr>
                <w:b/>
                <w:sz w:val="20"/>
              </w:rPr>
              <w:t>Factores influyentes</w:t>
            </w:r>
          </w:p>
        </w:tc>
        <w:tc>
          <w:tcPr>
            <w:tcW w:type="dxa" w:w="7056"/>
            <w:shd w:val="clear" w:color="auto" w:fill="F0F5FF"/>
          </w:tcPr>
          <w:p>
            <w:r>
              <w:rPr>
                <w:sz w:val="20"/>
              </w:rPr>
              <w:t>Los 6 indicadores técnicos con más peso en la predicción de ese símbolo concreto (RSI, MACD, medias móviles, volatilidad, etc.), con una barra que representa su importancia relativa. Ayuda a entender en qué se ha basado el modelo para generar la señal.</w:t>
            </w:r>
          </w:p>
        </w:tc>
      </w:tr>
      <w:tr>
        <w:tc>
          <w:tcPr>
            <w:tcW w:type="dxa" w:w="2304"/>
            <w:shd w:val="clear" w:color="auto" w:fill="FFFFFF"/>
          </w:tcPr>
          <w:p>
            <w:pPr>
              <w:jc w:val="center"/>
            </w:pPr>
            <w:r>
              <w:rPr>
                <w:b/>
                <w:sz w:val="20"/>
              </w:rPr>
              <w:t>Backtest</w:t>
            </w:r>
          </w:p>
        </w:tc>
        <w:tc>
          <w:tcPr>
            <w:tcW w:type="dxa" w:w="7056"/>
            <w:shd w:val="clear" w:color="auto" w:fill="FFFFFF"/>
          </w:tcPr>
          <w:p>
            <w:r>
              <w:rPr>
                <w:sz w:val="20"/>
              </w:rPr>
              <w:t>Resultado de simular la estrategia sobre datos históricos que el modelo no vio durante el entrenamiento: número de operaciones (Trades), % de operaciones ganadoras (Win rate), rentabilidad ajustada al riesgo (Sharpe), máxima caída desde un máximo (Max DD), rentabilidad anualizada (CAGR), rentabilidad extra sobre comprar-y-mantener (Alpha) y el retorno de comprar-y-mantener en el mismo periodo (B&amp;H return).</w:t>
            </w:r>
          </w:p>
        </w:tc>
      </w:tr>
    </w:tbl>
    <w:p/>
    <w:tbl>
      <w:tblPr>
        <w:tblStyle w:val="TableGrid"/>
        <w:tblW w:type="auto" w:w="0"/>
        <w:tblLook w:firstColumn="1" w:firstRow="1" w:lastColumn="0" w:lastRow="0" w:noHBand="0" w:noVBand="1" w:val="04A0"/>
      </w:tblPr>
      <w:tblGrid>
        <w:gridCol w:w="9122"/>
      </w:tblGrid>
      <w:tr>
        <w:tc>
          <w:tcPr>
            <w:tcW w:type="dxa" w:w="9122"/>
            <w:shd w:val="clear" w:color="auto" w:fill="E8F0F8"/>
          </w:tcPr>
          <w:p>
            <w:r>
              <w:rPr>
                <w:b/>
                <w:color w:val="0077CC"/>
                <w:sz w:val="22"/>
              </w:rPr>
              <w:t xml:space="preserve">  Nota:</w:t>
            </w:r>
          </w:p>
          <w:p>
            <w:pPr>
              <w:ind w:left="283"/>
            </w:pPr>
            <w:r>
              <w:rPr>
                <w:sz w:val="20"/>
              </w:rPr>
              <w:t>• Si la señal seleccionada es COMPRAR o VENDER, además de las cuatro tarjetas se despliega el panel de ejecución manual (ver 3.6). Con señal NEUTRAL, ese panel no aparece.</w:t>
            </w:r>
          </w:p>
        </w:tc>
      </w:tr>
    </w:tbl>
    <w:p/>
    <w:p>
      <w:pPr>
        <w:pStyle w:val="Heading2"/>
        <w:spacing w:before="160" w:after="80"/>
      </w:pPr>
      <w:r>
        <w:rPr>
          <w:color w:val="0099FF"/>
        </w:rPr>
        <w:t>3.5  Glosario de variables (contenido de los tooltips)</w:t>
      </w:r>
    </w:p>
    <w:p>
      <w:pPr>
        <w:spacing w:after="80"/>
      </w:pPr>
      <w:r>
        <w:rPr>
          <w:b w:val="0"/>
          <w:sz w:val="22"/>
        </w:rPr>
        <w:t>Referencia completa de los términos técnicos que pueden aparecer en la tarjeta 'Factores influyentes' (nombres de indicadores) y en la tarjeta 'Backtest' (métricas de rentabilidad y riesgo). Es el mismo texto que muestra cada tooltip ⓘ en el dashboard.</w:t>
      </w:r>
    </w:p>
    <w:p>
      <w:pPr>
        <w:spacing w:after="80"/>
      </w:pPr>
      <w:r>
        <w:rPr>
          <w:b/>
          <w:sz w:val="22"/>
        </w:rPr>
        <w:t>Indicadores técnicos (tarjeta Factores influyentes):</w:t>
      </w:r>
    </w:p>
    <w:tbl>
      <w:tblPr>
        <w:tblStyle w:val="TableGrid"/>
        <w:tblW w:type="auto" w:w="0"/>
        <w:jc w:val="center"/>
        <w:tblLook w:firstColumn="1" w:firstRow="1" w:lastColumn="0" w:lastRow="0" w:noHBand="0" w:noVBand="1" w:val="04A0"/>
      </w:tblPr>
      <w:tblGrid>
        <w:gridCol w:w="4561"/>
        <w:gridCol w:w="4561"/>
      </w:tblGrid>
      <w:tr>
        <w:tc>
          <w:tcPr>
            <w:tcW w:type="dxa" w:w="2880"/>
            <w:shd w:val="clear" w:color="auto" w:fill="0077CC"/>
          </w:tcPr>
          <w:p>
            <w:pPr>
              <w:jc w:val="center"/>
            </w:pPr>
            <w:r>
              <w:rPr>
                <w:b/>
                <w:color w:val="FFFFFF"/>
                <w:sz w:val="20"/>
              </w:rPr>
              <w:t>Variable</w:t>
            </w:r>
          </w:p>
        </w:tc>
        <w:tc>
          <w:tcPr>
            <w:tcW w:type="dxa" w:w="6480"/>
            <w:shd w:val="clear" w:color="auto" w:fill="0077CC"/>
          </w:tcPr>
          <w:p>
            <w:pPr>
              <w:jc w:val="center"/>
            </w:pPr>
            <w:r>
              <w:rPr>
                <w:b/>
                <w:color w:val="FFFFFF"/>
                <w:sz w:val="20"/>
              </w:rPr>
              <w:t>Qué es</w:t>
            </w:r>
          </w:p>
        </w:tc>
      </w:tr>
      <w:tr>
        <w:tc>
          <w:tcPr>
            <w:tcW w:type="dxa" w:w="2880"/>
            <w:shd w:val="clear" w:color="auto" w:fill="F0F5FF"/>
          </w:tcPr>
          <w:p>
            <w:pPr>
              <w:jc w:val="center"/>
            </w:pPr>
            <w:r>
              <w:rPr>
                <w:b/>
                <w:sz w:val="20"/>
              </w:rPr>
              <w:t>log_ret_1d / 5d / 20d</w:t>
            </w:r>
          </w:p>
        </w:tc>
        <w:tc>
          <w:tcPr>
            <w:tcW w:type="dxa" w:w="6480"/>
            <w:shd w:val="clear" w:color="auto" w:fill="F0F5FF"/>
          </w:tcPr>
          <w:p>
            <w:r>
              <w:rPr>
                <w:sz w:val="20"/>
              </w:rPr>
              <w:t>Retorno logarítmico del último día / 5 días / 20 días (~1 mes).</w:t>
            </w:r>
          </w:p>
        </w:tc>
      </w:tr>
      <w:tr>
        <w:tc>
          <w:tcPr>
            <w:tcW w:type="dxa" w:w="2880"/>
            <w:shd w:val="clear" w:color="auto" w:fill="FFFFFF"/>
          </w:tcPr>
          <w:p>
            <w:pPr>
              <w:jc w:val="center"/>
            </w:pPr>
            <w:r>
              <w:rPr>
                <w:b/>
                <w:sz w:val="20"/>
              </w:rPr>
              <w:t>sma20 / sma50</w:t>
            </w:r>
          </w:p>
        </w:tc>
        <w:tc>
          <w:tcPr>
            <w:tcW w:type="dxa" w:w="6480"/>
            <w:shd w:val="clear" w:color="auto" w:fill="FFFFFF"/>
          </w:tcPr>
          <w:p>
            <w:r>
              <w:rPr>
                <w:sz w:val="20"/>
              </w:rPr>
              <w:t>Media móvil simple de 20 y de 50 días.</w:t>
            </w:r>
          </w:p>
        </w:tc>
      </w:tr>
      <w:tr>
        <w:tc>
          <w:tcPr>
            <w:tcW w:type="dxa" w:w="2880"/>
            <w:shd w:val="clear" w:color="auto" w:fill="F0F5FF"/>
          </w:tcPr>
          <w:p>
            <w:pPr>
              <w:jc w:val="center"/>
            </w:pPr>
            <w:r>
              <w:rPr>
                <w:b/>
                <w:sz w:val="20"/>
              </w:rPr>
              <w:t>sma_ratio</w:t>
            </w:r>
          </w:p>
        </w:tc>
        <w:tc>
          <w:tcPr>
            <w:tcW w:type="dxa" w:w="6480"/>
            <w:shd w:val="clear" w:color="auto" w:fill="F0F5FF"/>
          </w:tcPr>
          <w:p>
            <w:r>
              <w:rPr>
                <w:sz w:val="20"/>
              </w:rPr>
              <w:t>SMA20 ÷ SMA50: por encima de 1, tendencia alcista; por debajo, bajista.</w:t>
            </w:r>
          </w:p>
        </w:tc>
      </w:tr>
      <w:tr>
        <w:tc>
          <w:tcPr>
            <w:tcW w:type="dxa" w:w="2880"/>
            <w:shd w:val="clear" w:color="auto" w:fill="FFFFFF"/>
          </w:tcPr>
          <w:p>
            <w:pPr>
              <w:jc w:val="center"/>
            </w:pPr>
            <w:r>
              <w:rPr>
                <w:b/>
                <w:sz w:val="20"/>
              </w:rPr>
              <w:t>price_sma20</w:t>
            </w:r>
          </w:p>
        </w:tc>
        <w:tc>
          <w:tcPr>
            <w:tcW w:type="dxa" w:w="6480"/>
            <w:shd w:val="clear" w:color="auto" w:fill="FFFFFF"/>
          </w:tcPr>
          <w:p>
            <w:r>
              <w:rPr>
                <w:sz w:val="20"/>
              </w:rPr>
              <w:t>Precio actual dividido entre su media móvil de 20 días.</w:t>
            </w:r>
          </w:p>
        </w:tc>
      </w:tr>
      <w:tr>
        <w:tc>
          <w:tcPr>
            <w:tcW w:type="dxa" w:w="2880"/>
            <w:shd w:val="clear" w:color="auto" w:fill="F0F5FF"/>
          </w:tcPr>
          <w:p>
            <w:pPr>
              <w:jc w:val="center"/>
            </w:pPr>
            <w:r>
              <w:rPr>
                <w:b/>
                <w:sz w:val="20"/>
              </w:rPr>
              <w:t>macd</w:t>
            </w:r>
          </w:p>
        </w:tc>
        <w:tc>
          <w:tcPr>
            <w:tcW w:type="dxa" w:w="6480"/>
            <w:shd w:val="clear" w:color="auto" w:fill="F0F5FF"/>
          </w:tcPr>
          <w:p>
            <w:r>
              <w:rPr>
                <w:sz w:val="20"/>
              </w:rPr>
              <w:t>Diferencia entre las medias móviles exponenciales de 12 y 26 días.</w:t>
            </w:r>
          </w:p>
        </w:tc>
      </w:tr>
      <w:tr>
        <w:tc>
          <w:tcPr>
            <w:tcW w:type="dxa" w:w="2880"/>
            <w:shd w:val="clear" w:color="auto" w:fill="FFFFFF"/>
          </w:tcPr>
          <w:p>
            <w:pPr>
              <w:jc w:val="center"/>
            </w:pPr>
            <w:r>
              <w:rPr>
                <w:b/>
                <w:sz w:val="20"/>
              </w:rPr>
              <w:t>macd_signal</w:t>
            </w:r>
          </w:p>
        </w:tc>
        <w:tc>
          <w:tcPr>
            <w:tcW w:type="dxa" w:w="6480"/>
            <w:shd w:val="clear" w:color="auto" w:fill="FFFFFF"/>
          </w:tcPr>
          <w:p>
            <w:r>
              <w:rPr>
                <w:sz w:val="20"/>
              </w:rPr>
              <w:t>Línea de señal del MACD (media exponencial de 9 días del propio MACD).</w:t>
            </w:r>
          </w:p>
        </w:tc>
      </w:tr>
      <w:tr>
        <w:tc>
          <w:tcPr>
            <w:tcW w:type="dxa" w:w="2880"/>
            <w:shd w:val="clear" w:color="auto" w:fill="F0F5FF"/>
          </w:tcPr>
          <w:p>
            <w:pPr>
              <w:jc w:val="center"/>
            </w:pPr>
            <w:r>
              <w:rPr>
                <w:b/>
                <w:sz w:val="20"/>
              </w:rPr>
              <w:t>macd_hist</w:t>
            </w:r>
          </w:p>
        </w:tc>
        <w:tc>
          <w:tcPr>
            <w:tcW w:type="dxa" w:w="6480"/>
            <w:shd w:val="clear" w:color="auto" w:fill="F0F5FF"/>
          </w:tcPr>
          <w:p>
            <w:r>
              <w:rPr>
                <w:sz w:val="20"/>
              </w:rPr>
              <w:t>Histograma MACD: diferencia entre el MACD y su línea de señal.</w:t>
            </w:r>
          </w:p>
        </w:tc>
      </w:tr>
      <w:tr>
        <w:tc>
          <w:tcPr>
            <w:tcW w:type="dxa" w:w="2880"/>
            <w:shd w:val="clear" w:color="auto" w:fill="FFFFFF"/>
          </w:tcPr>
          <w:p>
            <w:pPr>
              <w:jc w:val="center"/>
            </w:pPr>
            <w:r>
              <w:rPr>
                <w:b/>
                <w:sz w:val="20"/>
              </w:rPr>
              <w:t>rsi</w:t>
            </w:r>
          </w:p>
        </w:tc>
        <w:tc>
          <w:tcPr>
            <w:tcW w:type="dxa" w:w="6480"/>
            <w:shd w:val="clear" w:color="auto" w:fill="FFFFFF"/>
          </w:tcPr>
          <w:p>
            <w:r>
              <w:rPr>
                <w:sz w:val="20"/>
              </w:rPr>
              <w:t>Índice de fuerza relativa (14 días): &gt;70 sobrecompra, &lt;30 sobreventa.</w:t>
            </w:r>
          </w:p>
        </w:tc>
      </w:tr>
      <w:tr>
        <w:tc>
          <w:tcPr>
            <w:tcW w:type="dxa" w:w="2880"/>
            <w:shd w:val="clear" w:color="auto" w:fill="F0F5FF"/>
          </w:tcPr>
          <w:p>
            <w:pPr>
              <w:jc w:val="center"/>
            </w:pPr>
            <w:r>
              <w:rPr>
                <w:b/>
                <w:sz w:val="20"/>
              </w:rPr>
              <w:t>bb_upper / bb_lower / bb_mid</w:t>
            </w:r>
          </w:p>
        </w:tc>
        <w:tc>
          <w:tcPr>
            <w:tcW w:type="dxa" w:w="6480"/>
            <w:shd w:val="clear" w:color="auto" w:fill="F0F5FF"/>
          </w:tcPr>
          <w:p>
            <w:r>
              <w:rPr>
                <w:sz w:val="20"/>
              </w:rPr>
              <w:t>Bandas de Bollinger superior, inferior y media (20 días, ±2σ).</w:t>
            </w:r>
          </w:p>
        </w:tc>
      </w:tr>
      <w:tr>
        <w:tc>
          <w:tcPr>
            <w:tcW w:type="dxa" w:w="2880"/>
            <w:shd w:val="clear" w:color="auto" w:fill="FFFFFF"/>
          </w:tcPr>
          <w:p>
            <w:pPr>
              <w:jc w:val="center"/>
            </w:pPr>
            <w:r>
              <w:rPr>
                <w:b/>
                <w:sz w:val="20"/>
              </w:rPr>
              <w:t>bb_bwidth</w:t>
            </w:r>
          </w:p>
        </w:tc>
        <w:tc>
          <w:tcPr>
            <w:tcW w:type="dxa" w:w="6480"/>
            <w:shd w:val="clear" w:color="auto" w:fill="FFFFFF"/>
          </w:tcPr>
          <w:p>
            <w:r>
              <w:rPr>
                <w:sz w:val="20"/>
              </w:rPr>
              <w:t>Ancho de las Bandas de Bollinger: mide la volatilidad reciente.</w:t>
            </w:r>
          </w:p>
        </w:tc>
      </w:tr>
      <w:tr>
        <w:tc>
          <w:tcPr>
            <w:tcW w:type="dxa" w:w="2880"/>
            <w:shd w:val="clear" w:color="auto" w:fill="F0F5FF"/>
          </w:tcPr>
          <w:p>
            <w:pPr>
              <w:jc w:val="center"/>
            </w:pPr>
            <w:r>
              <w:rPr>
                <w:b/>
                <w:sz w:val="20"/>
              </w:rPr>
              <w:t>bb_pct</w:t>
            </w:r>
          </w:p>
        </w:tc>
        <w:tc>
          <w:tcPr>
            <w:tcW w:type="dxa" w:w="6480"/>
            <w:shd w:val="clear" w:color="auto" w:fill="F0F5FF"/>
          </w:tcPr>
          <w:p>
            <w:r>
              <w:rPr>
                <w:sz w:val="20"/>
              </w:rPr>
              <w:t>Posición del precio dentro de las bandas (0 = inferior, 1 = superior).</w:t>
            </w:r>
          </w:p>
        </w:tc>
      </w:tr>
      <w:tr>
        <w:tc>
          <w:tcPr>
            <w:tcW w:type="dxa" w:w="2880"/>
            <w:shd w:val="clear" w:color="auto" w:fill="FFFFFF"/>
          </w:tcPr>
          <w:p>
            <w:pPr>
              <w:jc w:val="center"/>
            </w:pPr>
            <w:r>
              <w:rPr>
                <w:b/>
                <w:sz w:val="20"/>
              </w:rPr>
              <w:t>atr</w:t>
            </w:r>
          </w:p>
        </w:tc>
        <w:tc>
          <w:tcPr>
            <w:tcW w:type="dxa" w:w="6480"/>
            <w:shd w:val="clear" w:color="auto" w:fill="FFFFFF"/>
          </w:tcPr>
          <w:p>
            <w:r>
              <w:rPr>
                <w:sz w:val="20"/>
              </w:rPr>
              <w:t>Rango medio real (14 días): volatilidad media del precio.</w:t>
            </w:r>
          </w:p>
        </w:tc>
      </w:tr>
      <w:tr>
        <w:tc>
          <w:tcPr>
            <w:tcW w:type="dxa" w:w="2880"/>
            <w:shd w:val="clear" w:color="auto" w:fill="F0F5FF"/>
          </w:tcPr>
          <w:p>
            <w:pPr>
              <w:jc w:val="center"/>
            </w:pPr>
            <w:r>
              <w:rPr>
                <w:b/>
                <w:sz w:val="20"/>
              </w:rPr>
              <w:t>vol_sma20</w:t>
            </w:r>
          </w:p>
        </w:tc>
        <w:tc>
          <w:tcPr>
            <w:tcW w:type="dxa" w:w="6480"/>
            <w:shd w:val="clear" w:color="auto" w:fill="F0F5FF"/>
          </w:tcPr>
          <w:p>
            <w:r>
              <w:rPr>
                <w:sz w:val="20"/>
              </w:rPr>
              <w:t>Media móvil del volumen negociado en 20 días.</w:t>
            </w:r>
          </w:p>
        </w:tc>
      </w:tr>
      <w:tr>
        <w:tc>
          <w:tcPr>
            <w:tcW w:type="dxa" w:w="2880"/>
            <w:shd w:val="clear" w:color="auto" w:fill="FFFFFF"/>
          </w:tcPr>
          <w:p>
            <w:pPr>
              <w:jc w:val="center"/>
            </w:pPr>
            <w:r>
              <w:rPr>
                <w:b/>
                <w:sz w:val="20"/>
              </w:rPr>
              <w:t>vol_ratio</w:t>
            </w:r>
          </w:p>
        </w:tc>
        <w:tc>
          <w:tcPr>
            <w:tcW w:type="dxa" w:w="6480"/>
            <w:shd w:val="clear" w:color="auto" w:fill="FFFFFF"/>
          </w:tcPr>
          <w:p>
            <w:r>
              <w:rPr>
                <w:sz w:val="20"/>
              </w:rPr>
              <w:t>Volumen actual ÷ su media de 20 días; alto = actividad inusual.</w:t>
            </w:r>
          </w:p>
        </w:tc>
      </w:tr>
      <w:tr>
        <w:tc>
          <w:tcPr>
            <w:tcW w:type="dxa" w:w="2880"/>
            <w:shd w:val="clear" w:color="auto" w:fill="F0F5FF"/>
          </w:tcPr>
          <w:p>
            <w:pPr>
              <w:jc w:val="center"/>
            </w:pPr>
            <w:r>
              <w:rPr>
                <w:b/>
                <w:sz w:val="20"/>
              </w:rPr>
              <w:t>hl_range</w:t>
            </w:r>
          </w:p>
        </w:tc>
        <w:tc>
          <w:tcPr>
            <w:tcW w:type="dxa" w:w="6480"/>
            <w:shd w:val="clear" w:color="auto" w:fill="F0F5FF"/>
          </w:tcPr>
          <w:p>
            <w:r>
              <w:rPr>
                <w:sz w:val="20"/>
              </w:rPr>
              <w:t>Rango intradía (máximo − mínimo) dividido entre el cierre.</w:t>
            </w:r>
          </w:p>
        </w:tc>
      </w:tr>
      <w:tr>
        <w:tc>
          <w:tcPr>
            <w:tcW w:type="dxa" w:w="2880"/>
            <w:shd w:val="clear" w:color="auto" w:fill="FFFFFF"/>
          </w:tcPr>
          <w:p>
            <w:pPr>
              <w:jc w:val="center"/>
            </w:pPr>
            <w:r>
              <w:rPr>
                <w:b/>
                <w:sz w:val="20"/>
              </w:rPr>
              <w:t>close</w:t>
            </w:r>
          </w:p>
        </w:tc>
        <w:tc>
          <w:tcPr>
            <w:tcW w:type="dxa" w:w="6480"/>
            <w:shd w:val="clear" w:color="auto" w:fill="FFFFFF"/>
          </w:tcPr>
          <w:p>
            <w:r>
              <w:rPr>
                <w:sz w:val="20"/>
              </w:rPr>
              <w:t>Precio de cierre de la última sesión.</w:t>
            </w:r>
          </w:p>
        </w:tc>
      </w:tr>
      <w:tr>
        <w:tc>
          <w:tcPr>
            <w:tcW w:type="dxa" w:w="2880"/>
            <w:shd w:val="clear" w:color="auto" w:fill="F0F5FF"/>
          </w:tcPr>
          <w:p>
            <w:pPr>
              <w:jc w:val="center"/>
            </w:pPr>
            <w:r>
              <w:rPr>
                <w:b/>
                <w:sz w:val="20"/>
              </w:rPr>
              <w:t>days_to_earnings</w:t>
            </w:r>
          </w:p>
        </w:tc>
        <w:tc>
          <w:tcPr>
            <w:tcW w:type="dxa" w:w="6480"/>
            <w:shd w:val="clear" w:color="auto" w:fill="F0F5FF"/>
          </w:tcPr>
          <w:p>
            <w:r>
              <w:rPr>
                <w:sz w:val="20"/>
              </w:rPr>
              <w:t>Días que faltan hasta la próxima publicación de resultados.</w:t>
            </w:r>
          </w:p>
        </w:tc>
      </w:tr>
      <w:tr>
        <w:tc>
          <w:tcPr>
            <w:tcW w:type="dxa" w:w="2880"/>
            <w:shd w:val="clear" w:color="auto" w:fill="FFFFFF"/>
          </w:tcPr>
          <w:p>
            <w:pPr>
              <w:jc w:val="center"/>
            </w:pPr>
            <w:r>
              <w:rPr>
                <w:b/>
                <w:sz w:val="20"/>
              </w:rPr>
              <w:t>is_earnings_week</w:t>
            </w:r>
          </w:p>
        </w:tc>
        <w:tc>
          <w:tcPr>
            <w:tcW w:type="dxa" w:w="6480"/>
            <w:shd w:val="clear" w:color="auto" w:fill="FFFFFF"/>
          </w:tcPr>
          <w:p>
            <w:r>
              <w:rPr>
                <w:sz w:val="20"/>
              </w:rPr>
              <w:t>Si la publicación de resultados cae en los próximos 5 días.</w:t>
            </w:r>
          </w:p>
        </w:tc>
      </w:tr>
      <w:tr>
        <w:tc>
          <w:tcPr>
            <w:tcW w:type="dxa" w:w="2880"/>
            <w:shd w:val="clear" w:color="auto" w:fill="F0F5FF"/>
          </w:tcPr>
          <w:p>
            <w:pPr>
              <w:jc w:val="center"/>
            </w:pPr>
            <w:r>
              <w:rPr>
                <w:b/>
                <w:sz w:val="20"/>
              </w:rPr>
              <w:t>days_to_exdiv</w:t>
            </w:r>
          </w:p>
        </w:tc>
        <w:tc>
          <w:tcPr>
            <w:tcW w:type="dxa" w:w="6480"/>
            <w:shd w:val="clear" w:color="auto" w:fill="F0F5FF"/>
          </w:tcPr>
          <w:p>
            <w:r>
              <w:rPr>
                <w:sz w:val="20"/>
              </w:rPr>
              <w:t>Días que faltan hasta la próxima fecha ex-dividendo.</w:t>
            </w:r>
          </w:p>
        </w:tc>
      </w:tr>
      <w:tr>
        <w:tc>
          <w:tcPr>
            <w:tcW w:type="dxa" w:w="2880"/>
            <w:shd w:val="clear" w:color="auto" w:fill="FFFFFF"/>
          </w:tcPr>
          <w:p>
            <w:pPr>
              <w:jc w:val="center"/>
            </w:pPr>
            <w:r>
              <w:rPr>
                <w:b/>
                <w:sz w:val="20"/>
              </w:rPr>
              <w:t>is_pre_exdiv</w:t>
            </w:r>
          </w:p>
        </w:tc>
        <w:tc>
          <w:tcPr>
            <w:tcW w:type="dxa" w:w="6480"/>
            <w:shd w:val="clear" w:color="auto" w:fill="FFFFFF"/>
          </w:tcPr>
          <w:p>
            <w:r>
              <w:rPr>
                <w:sz w:val="20"/>
              </w:rPr>
              <w:t>Si la fecha ex-dividendo cae en los próximos 5 días.</w:t>
            </w:r>
          </w:p>
        </w:tc>
      </w:tr>
      <w:tr>
        <w:tc>
          <w:tcPr>
            <w:tcW w:type="dxa" w:w="2880"/>
            <w:shd w:val="clear" w:color="auto" w:fill="F0F5FF"/>
          </w:tcPr>
          <w:p>
            <w:pPr>
              <w:jc w:val="center"/>
            </w:pPr>
            <w:r>
              <w:rPr>
                <w:b/>
                <w:sz w:val="20"/>
              </w:rPr>
              <w:t>vix</w:t>
            </w:r>
          </w:p>
        </w:tc>
        <w:tc>
          <w:tcPr>
            <w:tcW w:type="dxa" w:w="6480"/>
            <w:shd w:val="clear" w:color="auto" w:fill="F0F5FF"/>
          </w:tcPr>
          <w:p>
            <w:r>
              <w:rPr>
                <w:sz w:val="20"/>
              </w:rPr>
              <w:t>Nivel del índice VIX: volatilidad esperada del mercado ('índice del miedo').</w:t>
            </w:r>
          </w:p>
        </w:tc>
      </w:tr>
      <w:tr>
        <w:tc>
          <w:tcPr>
            <w:tcW w:type="dxa" w:w="2880"/>
            <w:shd w:val="clear" w:color="auto" w:fill="FFFFFF"/>
          </w:tcPr>
          <w:p>
            <w:pPr>
              <w:jc w:val="center"/>
            </w:pPr>
            <w:r>
              <w:rPr>
                <w:b/>
                <w:sz w:val="20"/>
              </w:rPr>
              <w:t>vix_chg_5d</w:t>
            </w:r>
          </w:p>
        </w:tc>
        <w:tc>
          <w:tcPr>
            <w:tcW w:type="dxa" w:w="6480"/>
            <w:shd w:val="clear" w:color="auto" w:fill="FFFFFF"/>
          </w:tcPr>
          <w:p>
            <w:r>
              <w:rPr>
                <w:sz w:val="20"/>
              </w:rPr>
              <w:t>Variación del VIX en los últimos 5 días.</w:t>
            </w:r>
          </w:p>
        </w:tc>
      </w:tr>
      <w:tr>
        <w:tc>
          <w:tcPr>
            <w:tcW w:type="dxa" w:w="2880"/>
            <w:shd w:val="clear" w:color="auto" w:fill="F0F5FF"/>
          </w:tcPr>
          <w:p>
            <w:pPr>
              <w:jc w:val="center"/>
            </w:pPr>
            <w:r>
              <w:rPr>
                <w:b/>
                <w:sz w:val="20"/>
              </w:rPr>
              <w:t>rel_ret_5d / rel_ret_20d</w:t>
            </w:r>
          </w:p>
        </w:tc>
        <w:tc>
          <w:tcPr>
            <w:tcW w:type="dxa" w:w="6480"/>
            <w:shd w:val="clear" w:color="auto" w:fill="F0F5FF"/>
          </w:tcPr>
          <w:p>
            <w:r>
              <w:rPr>
                <w:sz w:val="20"/>
              </w:rPr>
              <w:t>Retorno del activo en 5 / 20 días, comparado con el S&amp;P 500 (SPY).</w:t>
            </w:r>
          </w:p>
        </w:tc>
      </w:tr>
    </w:tbl>
    <w:p/>
    <w:p>
      <w:pPr>
        <w:spacing w:after="80"/>
      </w:pPr>
      <w:r>
        <w:rPr>
          <w:b/>
          <w:sz w:val="22"/>
        </w:rPr>
        <w:t>Métricas de rentabilidad y riesgo (tarjeta Backtest):</w:t>
      </w:r>
    </w:p>
    <w:tbl>
      <w:tblPr>
        <w:tblStyle w:val="TableGrid"/>
        <w:tblW w:type="auto" w:w="0"/>
        <w:jc w:val="center"/>
        <w:tblLook w:firstColumn="1" w:firstRow="1" w:lastColumn="0" w:lastRow="0" w:noHBand="0" w:noVBand="1" w:val="04A0"/>
      </w:tblPr>
      <w:tblGrid>
        <w:gridCol w:w="4561"/>
        <w:gridCol w:w="4561"/>
      </w:tblGrid>
      <w:tr>
        <w:tc>
          <w:tcPr>
            <w:tcW w:type="dxa" w:w="2304"/>
            <w:shd w:val="clear" w:color="auto" w:fill="0077CC"/>
          </w:tcPr>
          <w:p>
            <w:pPr>
              <w:jc w:val="center"/>
            </w:pPr>
            <w:r>
              <w:rPr>
                <w:b/>
                <w:color w:val="FFFFFF"/>
                <w:sz w:val="20"/>
              </w:rPr>
              <w:t>Métrica</w:t>
            </w:r>
          </w:p>
        </w:tc>
        <w:tc>
          <w:tcPr>
            <w:tcW w:type="dxa" w:w="7056"/>
            <w:shd w:val="clear" w:color="auto" w:fill="0077CC"/>
          </w:tcPr>
          <w:p>
            <w:pPr>
              <w:jc w:val="center"/>
            </w:pPr>
            <w:r>
              <w:rPr>
                <w:b/>
                <w:color w:val="FFFFFF"/>
                <w:sz w:val="20"/>
              </w:rPr>
              <w:t>Qué es</w:t>
            </w:r>
          </w:p>
        </w:tc>
      </w:tr>
      <w:tr>
        <w:tc>
          <w:tcPr>
            <w:tcW w:type="dxa" w:w="2304"/>
            <w:shd w:val="clear" w:color="auto" w:fill="F0F5FF"/>
          </w:tcPr>
          <w:p>
            <w:pPr>
              <w:jc w:val="center"/>
            </w:pPr>
            <w:r>
              <w:rPr>
                <w:b/>
                <w:sz w:val="20"/>
              </w:rPr>
              <w:t>Win rate</w:t>
            </w:r>
          </w:p>
        </w:tc>
        <w:tc>
          <w:tcPr>
            <w:tcW w:type="dxa" w:w="7056"/>
            <w:shd w:val="clear" w:color="auto" w:fill="F0F5FF"/>
          </w:tcPr>
          <w:p>
            <w:r>
              <w:rPr>
                <w:sz w:val="20"/>
              </w:rPr>
              <w:t>Porcentaje de operaciones del backtest que resultaron ganadoras.</w:t>
            </w:r>
          </w:p>
        </w:tc>
      </w:tr>
      <w:tr>
        <w:tc>
          <w:tcPr>
            <w:tcW w:type="dxa" w:w="2304"/>
            <w:shd w:val="clear" w:color="auto" w:fill="FFFFFF"/>
          </w:tcPr>
          <w:p>
            <w:pPr>
              <w:jc w:val="center"/>
            </w:pPr>
            <w:r>
              <w:rPr>
                <w:b/>
                <w:sz w:val="20"/>
              </w:rPr>
              <w:t>Sharpe</w:t>
            </w:r>
          </w:p>
        </w:tc>
        <w:tc>
          <w:tcPr>
            <w:tcW w:type="dxa" w:w="7056"/>
            <w:shd w:val="clear" w:color="auto" w:fill="FFFFFF"/>
          </w:tcPr>
          <w:p>
            <w:r>
              <w:rPr>
                <w:sz w:val="20"/>
              </w:rPr>
              <w:t>Ratio de Sharpe: rentabilidad obtenida por unidad de riesgo asumido. Más alto es mejor.</w:t>
            </w:r>
          </w:p>
        </w:tc>
      </w:tr>
      <w:tr>
        <w:tc>
          <w:tcPr>
            <w:tcW w:type="dxa" w:w="2304"/>
            <w:shd w:val="clear" w:color="auto" w:fill="F0F5FF"/>
          </w:tcPr>
          <w:p>
            <w:pPr>
              <w:jc w:val="center"/>
            </w:pPr>
            <w:r>
              <w:rPr>
                <w:b/>
                <w:sz w:val="20"/>
              </w:rPr>
              <w:t>Max DD</w:t>
            </w:r>
          </w:p>
        </w:tc>
        <w:tc>
          <w:tcPr>
            <w:tcW w:type="dxa" w:w="7056"/>
            <w:shd w:val="clear" w:color="auto" w:fill="F0F5FF"/>
          </w:tcPr>
          <w:p>
            <w:r>
              <w:rPr>
                <w:sz w:val="20"/>
              </w:rPr>
              <w:t>Máxima caída (drawdown): la mayor pérdida desde un máximo hasta el siguiente mínimo.</w:t>
            </w:r>
          </w:p>
        </w:tc>
      </w:tr>
      <w:tr>
        <w:tc>
          <w:tcPr>
            <w:tcW w:type="dxa" w:w="2304"/>
            <w:shd w:val="clear" w:color="auto" w:fill="FFFFFF"/>
          </w:tcPr>
          <w:p>
            <w:pPr>
              <w:jc w:val="center"/>
            </w:pPr>
            <w:r>
              <w:rPr>
                <w:b/>
                <w:sz w:val="20"/>
              </w:rPr>
              <w:t>CAGR</w:t>
            </w:r>
          </w:p>
        </w:tc>
        <w:tc>
          <w:tcPr>
            <w:tcW w:type="dxa" w:w="7056"/>
            <w:shd w:val="clear" w:color="auto" w:fill="FFFFFF"/>
          </w:tcPr>
          <w:p>
            <w:r>
              <w:rPr>
                <w:sz w:val="20"/>
              </w:rPr>
              <w:t>Tasa de crecimiento anual compuesta: rentabilidad media anualizada de la estrategia.</w:t>
            </w:r>
          </w:p>
        </w:tc>
      </w:tr>
      <w:tr>
        <w:tc>
          <w:tcPr>
            <w:tcW w:type="dxa" w:w="2304"/>
            <w:shd w:val="clear" w:color="auto" w:fill="F0F5FF"/>
          </w:tcPr>
          <w:p>
            <w:pPr>
              <w:jc w:val="center"/>
            </w:pPr>
            <w:r>
              <w:rPr>
                <w:b/>
                <w:sz w:val="20"/>
              </w:rPr>
              <w:t>Alpha</w:t>
            </w:r>
          </w:p>
        </w:tc>
        <w:tc>
          <w:tcPr>
            <w:tcW w:type="dxa" w:w="7056"/>
            <w:shd w:val="clear" w:color="auto" w:fill="F0F5FF"/>
          </w:tcPr>
          <w:p>
            <w:r>
              <w:rPr>
                <w:sz w:val="20"/>
              </w:rPr>
              <w:t>Rentabilidad extra de la estrategia frente a comprar y mantener (Buy &amp; Hold).</w:t>
            </w:r>
          </w:p>
        </w:tc>
      </w:tr>
      <w:tr>
        <w:tc>
          <w:tcPr>
            <w:tcW w:type="dxa" w:w="2304"/>
            <w:shd w:val="clear" w:color="auto" w:fill="FFFFFF"/>
          </w:tcPr>
          <w:p>
            <w:pPr>
              <w:jc w:val="center"/>
            </w:pPr>
            <w:r>
              <w:rPr>
                <w:b/>
                <w:sz w:val="20"/>
              </w:rPr>
              <w:t>B&amp;H return</w:t>
            </w:r>
          </w:p>
        </w:tc>
        <w:tc>
          <w:tcPr>
            <w:tcW w:type="dxa" w:w="7056"/>
            <w:shd w:val="clear" w:color="auto" w:fill="FFFFFF"/>
          </w:tcPr>
          <w:p>
            <w:r>
              <w:rPr>
                <w:sz w:val="20"/>
              </w:rPr>
              <w:t>Buy &amp; Hold: retorno de comprar el activo al inicio y mantenerlo, sin operar.</w:t>
            </w:r>
          </w:p>
        </w:tc>
      </w:tr>
      <w:tr>
        <w:tc>
          <w:tcPr>
            <w:tcW w:type="dxa" w:w="2304"/>
            <w:shd w:val="clear" w:color="auto" w:fill="F0F5FF"/>
          </w:tcPr>
          <w:p>
            <w:pPr>
              <w:jc w:val="center"/>
            </w:pPr>
            <w:r>
              <w:rPr>
                <w:b/>
                <w:sz w:val="20"/>
              </w:rPr>
              <w:t>OOS MAE</w:t>
            </w:r>
          </w:p>
        </w:tc>
        <w:tc>
          <w:tcPr>
            <w:tcW w:type="dxa" w:w="7056"/>
            <w:shd w:val="clear" w:color="auto" w:fill="F0F5FF"/>
          </w:tcPr>
          <w:p>
            <w:r>
              <w:rPr>
                <w:sz w:val="20"/>
              </w:rPr>
              <w:t>Error absoluto medio fuera de muestra: cuánto se equivoca el modelo en promedio, medido con datos que no usó para entrenar (tarjeta Detalle del modelo).</w:t>
            </w:r>
          </w:p>
        </w:tc>
      </w:tr>
    </w:tbl>
    <w:p/>
    <w:p>
      <w:pPr>
        <w:pStyle w:val="Heading2"/>
        <w:spacing w:before="160" w:after="80"/>
      </w:pPr>
      <w:r>
        <w:rPr>
          <w:color w:val="0099FF"/>
        </w:rPr>
        <w:t>3.6  Panel "Ejecutar Orden Manual"</w:t>
      </w:r>
    </w:p>
    <w:p>
      <w:pPr>
        <w:spacing w:after="80"/>
      </w:pPr>
      <w:r>
        <w:rPr>
          <w:b w:val="0"/>
          <w:sz w:val="22"/>
        </w:rPr>
        <w:t>Al seleccionar en la tabla una fila cuya señal sea COMPRAR o VENDER (las señales NEUTRAL no muestran este panel), aparece un panel inferior con el símbolo, la señal, el retorno predicho y el precio, un campo de importe en dólares y un botón 'Comprar &lt;símbolo&gt;' / 'Vender &lt;símbolo&gt;'. Al pulsarlo se envía la orden a Alpaca en modo Paper Trading, pero antes se aplican varios filtros de seguridad: se descarta la orden si la precisión direccional del modelo (Dir. Acc.) está por debajo del mínimo exigido, si ya existe una orden abierta para ese símbolo, o si hay algún problema al consultar la cuenta. El resultado (orden ejecutada, omitida o con error) se muestra justo debajo del botón.</w:t>
      </w:r>
    </w:p>
    <w:p>
      <w:pPr>
        <w:jc w:val="center"/>
      </w:pPr>
      <w:r>
        <w:drawing>
          <wp:inline xmlns:a="http://schemas.openxmlformats.org/drawingml/2006/main" xmlns:pic="http://schemas.openxmlformats.org/drawingml/2006/picture">
            <wp:extent cx="5760720" cy="428095"/>
            <wp:docPr id="8" name="Picture 8"/>
            <wp:cNvGraphicFramePr>
              <a:graphicFrameLocks noChangeAspect="1"/>
            </wp:cNvGraphicFramePr>
            <a:graphic>
              <a:graphicData uri="http://schemas.openxmlformats.org/drawingml/2006/picture">
                <pic:pic>
                  <pic:nvPicPr>
                    <pic:cNvPr id="0" name="analisis_ejecucion.png"/>
                    <pic:cNvPicPr/>
                  </pic:nvPicPr>
                  <pic:blipFill>
                    <a:blip r:embed="rId16"/>
                    <a:stretch>
                      <a:fillRect/>
                    </a:stretch>
                  </pic:blipFill>
                  <pic:spPr>
                    <a:xfrm>
                      <a:off x="0" y="0"/>
                      <a:ext cx="5760720" cy="428095"/>
                    </a:xfrm>
                    <a:prstGeom prst="rect"/>
                  </pic:spPr>
                </pic:pic>
              </a:graphicData>
            </a:graphic>
          </wp:inline>
        </w:drawing>
      </w:r>
    </w:p>
    <w:p>
      <w:pPr>
        <w:jc w:val="center"/>
      </w:pPr>
      <w:r>
        <w:rPr>
          <w:i/>
          <w:color w:val="444455"/>
          <w:sz w:val="18"/>
        </w:rPr>
        <w:t>Panel de ejecución manual, con señal COMPRAR.</w:t>
      </w:r>
    </w:p>
    <w:p/>
    <w:p>
      <w:r>
        <w:br w:type="page"/>
      </w:r>
    </w:p>
    <w:p>
      <w:pPr>
        <w:pStyle w:val="Heading1"/>
        <w:spacing w:before="280" w:after="80"/>
      </w:pPr>
      <w:r>
        <w:rPr>
          <w:color w:val="0077CC"/>
        </w:rPr>
        <w:t>4. Pestaña Precio</w:t>
      </w:r>
    </w:p>
    <w:p>
      <w:pPr>
        <w:spacing w:after="80"/>
      </w:pPr>
      <w:r>
        <w:rPr>
          <w:b w:val="0"/>
          <w:sz w:val="22"/>
        </w:rPr>
        <w:t>La pestaña Precio muestra la evolución histórica de un activo mediante un gráfico de velas (candlestick) interactivo, con sus medias móviles y el volumen negociado, para inspeccionar visualmente cualquier símbolo del S&amp;P 100 sin necesidad de lanzar un análisis de IA.</w:t>
      </w:r>
    </w:p>
    <w:p/>
    <w:p>
      <w:pPr>
        <w:pStyle w:val="Heading2"/>
        <w:spacing w:before="160" w:after="80"/>
      </w:pPr>
      <w:r>
        <w:rPr>
          <w:color w:val="0099FF"/>
        </w:rPr>
        <w:t>4.1  Controles</w:t>
      </w:r>
    </w:p>
    <w:p>
      <w:pPr>
        <w:jc w:val="center"/>
      </w:pPr>
      <w:r>
        <w:drawing>
          <wp:inline xmlns:a="http://schemas.openxmlformats.org/drawingml/2006/main" xmlns:pic="http://schemas.openxmlformats.org/drawingml/2006/picture">
            <wp:extent cx="5760720" cy="346882"/>
            <wp:docPr id="9" name="Picture 9"/>
            <wp:cNvGraphicFramePr>
              <a:graphicFrameLocks noChangeAspect="1"/>
            </wp:cNvGraphicFramePr>
            <a:graphic>
              <a:graphicData uri="http://schemas.openxmlformats.org/drawingml/2006/picture">
                <pic:pic>
                  <pic:nvPicPr>
                    <pic:cNvPr id="0" name="precio_controles.png"/>
                    <pic:cNvPicPr/>
                  </pic:nvPicPr>
                  <pic:blipFill>
                    <a:blip r:embed="rId17"/>
                    <a:stretch>
                      <a:fillRect/>
                    </a:stretch>
                  </pic:blipFill>
                  <pic:spPr>
                    <a:xfrm>
                      <a:off x="0" y="0"/>
                      <a:ext cx="5760720" cy="346882"/>
                    </a:xfrm>
                    <a:prstGeom prst="rect"/>
                  </pic:spPr>
                </pic:pic>
              </a:graphicData>
            </a:graphic>
          </wp:inline>
        </w:drawing>
      </w:r>
    </w:p>
    <w:p>
      <w:pPr>
        <w:jc w:val="center"/>
      </w:pPr>
      <w:r>
        <w:rPr>
          <w:i/>
          <w:color w:val="444455"/>
          <w:sz w:val="18"/>
        </w:rPr>
        <w:t>Controles de la Pestaña Precio.</w:t>
      </w:r>
    </w:p>
    <w:p/>
    <w:tbl>
      <w:tblPr>
        <w:tblStyle w:val="TableGrid"/>
        <w:tblW w:type="auto" w:w="0"/>
        <w:jc w:val="center"/>
        <w:tblLook w:firstColumn="1" w:firstRow="1" w:lastColumn="0" w:lastRow="0" w:noHBand="0" w:noVBand="1" w:val="04A0"/>
      </w:tblPr>
      <w:tblGrid>
        <w:gridCol w:w="4561"/>
        <w:gridCol w:w="4561"/>
      </w:tblGrid>
      <w:tr>
        <w:tc>
          <w:tcPr>
            <w:tcW w:type="dxa" w:w="2304"/>
            <w:shd w:val="clear" w:color="auto" w:fill="0077CC"/>
          </w:tcPr>
          <w:p>
            <w:pPr>
              <w:jc w:val="center"/>
            </w:pPr>
            <w:r>
              <w:rPr>
                <w:b/>
                <w:color w:val="FFFFFF"/>
                <w:sz w:val="20"/>
              </w:rPr>
              <w:t>Control</w:t>
            </w:r>
          </w:p>
        </w:tc>
        <w:tc>
          <w:tcPr>
            <w:tcW w:type="dxa" w:w="7056"/>
            <w:shd w:val="clear" w:color="auto" w:fill="0077CC"/>
          </w:tcPr>
          <w:p>
            <w:pPr>
              <w:jc w:val="center"/>
            </w:pPr>
            <w:r>
              <w:rPr>
                <w:b/>
                <w:color w:val="FFFFFF"/>
                <w:sz w:val="20"/>
              </w:rPr>
              <w:t>Descripción</w:t>
            </w:r>
          </w:p>
        </w:tc>
      </w:tr>
      <w:tr>
        <w:tc>
          <w:tcPr>
            <w:tcW w:type="dxa" w:w="2304"/>
            <w:shd w:val="clear" w:color="auto" w:fill="F0F5FF"/>
          </w:tcPr>
          <w:p>
            <w:pPr>
              <w:jc w:val="center"/>
            </w:pPr>
            <w:r>
              <w:rPr>
                <w:b/>
                <w:sz w:val="20"/>
              </w:rPr>
              <w:t>Símbolo</w:t>
            </w:r>
          </w:p>
        </w:tc>
        <w:tc>
          <w:tcPr>
            <w:tcW w:type="dxa" w:w="7056"/>
            <w:shd w:val="clear" w:color="auto" w:fill="F0F5FF"/>
          </w:tcPr>
          <w:p>
            <w:r>
              <w:rPr>
                <w:sz w:val="20"/>
              </w:rPr>
              <w:t>Desplegable con los activos del S&amp;P100. Al cambiarlo, el gráfico se actualiza automáticamente con los datos del nuevo símbolo.</w:t>
            </w:r>
          </w:p>
        </w:tc>
      </w:tr>
      <w:tr>
        <w:tc>
          <w:tcPr>
            <w:tcW w:type="dxa" w:w="2304"/>
            <w:shd w:val="clear" w:color="auto" w:fill="FFFFFF"/>
          </w:tcPr>
          <w:p>
            <w:pPr>
              <w:jc w:val="center"/>
            </w:pPr>
            <w:r>
              <w:rPr>
                <w:b/>
                <w:sz w:val="20"/>
              </w:rPr>
              <w:t>Intervalo</w:t>
            </w:r>
          </w:p>
        </w:tc>
        <w:tc>
          <w:tcPr>
            <w:tcW w:type="dxa" w:w="7056"/>
            <w:shd w:val="clear" w:color="auto" w:fill="FFFFFF"/>
          </w:tcPr>
          <w:p>
            <w:r>
              <w:rPr>
                <w:sz w:val="20"/>
              </w:rPr>
              <w:t>Tamaño de cada vela: Diario, 1 Hora o 15 Min. Los intervalos intradía (1 Hora, 15 Min) muestran menos historial hacia atrás, ya que Yahoo Finance solo conserva datos intradía recientes.</w:t>
            </w:r>
          </w:p>
        </w:tc>
      </w:tr>
      <w:tr>
        <w:tc>
          <w:tcPr>
            <w:tcW w:type="dxa" w:w="2304"/>
            <w:shd w:val="clear" w:color="auto" w:fill="F0F5FF"/>
          </w:tcPr>
          <w:p>
            <w:pPr>
              <w:jc w:val="center"/>
            </w:pPr>
            <w:r>
              <w:rPr>
                <w:b/>
                <w:sz w:val="20"/>
              </w:rPr>
              <w:t>Periodo</w:t>
            </w:r>
          </w:p>
        </w:tc>
        <w:tc>
          <w:tcPr>
            <w:tcW w:type="dxa" w:w="7056"/>
            <w:shd w:val="clear" w:color="auto" w:fill="F0F5FF"/>
          </w:tcPr>
          <w:p>
            <w:r>
              <w:rPr>
                <w:sz w:val="20"/>
              </w:rPr>
              <w:t>Ventana de tiempo que se muestra hacia atrás desde hoy: 1 mes, 3 meses, 6 meses, 1 año o 2 años.</w:t>
            </w:r>
          </w:p>
        </w:tc>
      </w:tr>
    </w:tbl>
    <w:p/>
    <w:p>
      <w:pPr>
        <w:spacing w:after="80"/>
      </w:pPr>
      <w:r>
        <w:rPr>
          <w:b/>
          <w:sz w:val="22"/>
        </w:rPr>
        <w:t>¿Qué significa cada Intervalo?</w:t>
      </w:r>
    </w:p>
    <w:p>
      <w:pPr>
        <w:spacing w:after="80"/>
      </w:pPr>
      <w:r>
        <w:rPr>
          <w:b w:val="0"/>
          <w:sz w:val="22"/>
        </w:rPr>
        <w:t>El intervalo define qué periodo de tiempo resume cada vela del gráfico: cuanto más pequeño, más detalle a corto plazo, pero menos historial disponible hacia atrás.</w:t>
      </w:r>
    </w:p>
    <w:tbl>
      <w:tblPr>
        <w:tblStyle w:val="TableGrid"/>
        <w:tblW w:type="auto" w:w="0"/>
        <w:jc w:val="center"/>
        <w:tblLook w:firstColumn="1" w:firstRow="1" w:lastColumn="0" w:lastRow="0" w:noHBand="0" w:noVBand="1" w:val="04A0"/>
      </w:tblPr>
      <w:tblGrid>
        <w:gridCol w:w="3041"/>
        <w:gridCol w:w="3041"/>
        <w:gridCol w:w="3041"/>
      </w:tblGrid>
      <w:tr>
        <w:tc>
          <w:tcPr>
            <w:tcW w:type="dxa" w:w="1728"/>
            <w:shd w:val="clear" w:color="auto" w:fill="0077CC"/>
          </w:tcPr>
          <w:p>
            <w:pPr>
              <w:jc w:val="center"/>
            </w:pPr>
            <w:r>
              <w:rPr>
                <w:b/>
                <w:color w:val="FFFFFF"/>
                <w:sz w:val="20"/>
              </w:rPr>
              <w:t>Intervalo</w:t>
            </w:r>
          </w:p>
        </w:tc>
        <w:tc>
          <w:tcPr>
            <w:tcW w:type="dxa" w:w="4320"/>
            <w:shd w:val="clear" w:color="auto" w:fill="0077CC"/>
          </w:tcPr>
          <w:p>
            <w:pPr>
              <w:jc w:val="center"/>
            </w:pPr>
            <w:r>
              <w:rPr>
                <w:b/>
                <w:color w:val="FFFFFF"/>
                <w:sz w:val="20"/>
              </w:rPr>
              <w:t>Qué muestra cada vela</w:t>
            </w:r>
          </w:p>
        </w:tc>
        <w:tc>
          <w:tcPr>
            <w:tcW w:type="dxa" w:w="3312"/>
            <w:shd w:val="clear" w:color="auto" w:fill="0077CC"/>
          </w:tcPr>
          <w:p>
            <w:pPr>
              <w:jc w:val="center"/>
            </w:pPr>
            <w:r>
              <w:rPr>
                <w:b/>
                <w:color w:val="FFFFFF"/>
                <w:sz w:val="20"/>
              </w:rPr>
              <w:t>Historial disponible</w:t>
            </w:r>
          </w:p>
        </w:tc>
      </w:tr>
      <w:tr>
        <w:tc>
          <w:tcPr>
            <w:tcW w:type="dxa" w:w="1728"/>
            <w:shd w:val="clear" w:color="auto" w:fill="F0F5FF"/>
          </w:tcPr>
          <w:p>
            <w:pPr>
              <w:jc w:val="center"/>
            </w:pPr>
            <w:r>
              <w:rPr>
                <w:b/>
                <w:sz w:val="20"/>
              </w:rPr>
              <w:t>Diario</w:t>
            </w:r>
          </w:p>
        </w:tc>
        <w:tc>
          <w:tcPr>
            <w:tcW w:type="dxa" w:w="4320"/>
            <w:shd w:val="clear" w:color="auto" w:fill="F0F5FF"/>
          </w:tcPr>
          <w:p>
            <w:r>
              <w:rPr>
                <w:sz w:val="20"/>
              </w:rPr>
              <w:t>La sesión bursátil completa de un día (apertura, máximo, mínimo y cierre de esa jornada).</w:t>
            </w:r>
          </w:p>
        </w:tc>
        <w:tc>
          <w:tcPr>
            <w:tcW w:type="dxa" w:w="3312"/>
            <w:shd w:val="clear" w:color="auto" w:fill="F0F5FF"/>
          </w:tcPr>
          <w:p>
            <w:r>
              <w:rPr>
                <w:sz w:val="20"/>
              </w:rPr>
              <w:t>Sin límite práctico: puedes ver años de historial (1 año, 2 años...).</w:t>
            </w:r>
          </w:p>
        </w:tc>
      </w:tr>
      <w:tr>
        <w:tc>
          <w:tcPr>
            <w:tcW w:type="dxa" w:w="1728"/>
            <w:shd w:val="clear" w:color="auto" w:fill="FFFFFF"/>
          </w:tcPr>
          <w:p>
            <w:pPr>
              <w:jc w:val="center"/>
            </w:pPr>
            <w:r>
              <w:rPr>
                <w:b/>
                <w:sz w:val="20"/>
              </w:rPr>
              <w:t>1 Hora</w:t>
            </w:r>
          </w:p>
        </w:tc>
        <w:tc>
          <w:tcPr>
            <w:tcW w:type="dxa" w:w="4320"/>
            <w:shd w:val="clear" w:color="auto" w:fill="FFFFFF"/>
          </w:tcPr>
          <w:p>
            <w:r>
              <w:rPr>
                <w:sz w:val="20"/>
              </w:rPr>
              <w:t>Lo ocurrido en una hora de negociación dentro de la sesión bursátil.</w:t>
            </w:r>
          </w:p>
        </w:tc>
        <w:tc>
          <w:tcPr>
            <w:tcW w:type="dxa" w:w="3312"/>
            <w:shd w:val="clear" w:color="auto" w:fill="FFFFFF"/>
          </w:tcPr>
          <w:p>
            <w:r>
              <w:rPr>
                <w:sz w:val="20"/>
              </w:rPr>
              <w:t>Hasta unos 2 años hacia atrás.</w:t>
            </w:r>
          </w:p>
        </w:tc>
      </w:tr>
      <w:tr>
        <w:tc>
          <w:tcPr>
            <w:tcW w:type="dxa" w:w="1728"/>
            <w:shd w:val="clear" w:color="auto" w:fill="F0F5FF"/>
          </w:tcPr>
          <w:p>
            <w:pPr>
              <w:jc w:val="center"/>
            </w:pPr>
            <w:r>
              <w:rPr>
                <w:b/>
                <w:sz w:val="20"/>
              </w:rPr>
              <w:t>15 Min</w:t>
            </w:r>
          </w:p>
        </w:tc>
        <w:tc>
          <w:tcPr>
            <w:tcW w:type="dxa" w:w="4320"/>
            <w:shd w:val="clear" w:color="auto" w:fill="F0F5FF"/>
          </w:tcPr>
          <w:p>
            <w:r>
              <w:rPr>
                <w:sz w:val="20"/>
              </w:rPr>
              <w:t>Lo ocurrido en un tramo de 15 minutos dentro de la sesión.</w:t>
            </w:r>
          </w:p>
        </w:tc>
        <w:tc>
          <w:tcPr>
            <w:tcW w:type="dxa" w:w="3312"/>
            <w:shd w:val="clear" w:color="auto" w:fill="F0F5FF"/>
          </w:tcPr>
          <w:p>
            <w:r>
              <w:rPr>
                <w:sz w:val="20"/>
              </w:rPr>
              <w:t>Solo los últimos ~60 días (límite que impone Yahoo Finance para datos tan granulares). Si eliges un Periodo más largo con este intervalo, el gráfico puede mostrar el aviso 'Sin datos'.</w:t>
            </w:r>
          </w:p>
        </w:tc>
      </w:tr>
    </w:tbl>
    <w:p/>
    <w:p>
      <w:pPr>
        <w:spacing w:after="80"/>
      </w:pPr>
      <w:r>
        <w:rPr>
          <w:b/>
          <w:sz w:val="22"/>
        </w:rPr>
        <w:t>¿Qué significa cada Periodo?</w:t>
      </w:r>
    </w:p>
    <w:p>
      <w:pPr>
        <w:spacing w:after="80"/>
      </w:pPr>
      <w:r>
        <w:rPr>
          <w:b w:val="0"/>
          <w:sz w:val="22"/>
        </w:rPr>
        <w:t>El periodo define cuánto tiempo hacia atrás desde hoy se representa en el gráfico, manteniendo el intervalo elegido. Por ejemplo, 'Diario' + '6 meses' dibuja una vela por cada día de los últimos 6 meses; '1 Hora' + '1 mes' dibuja una vela por cada hora negociada en el último mes. Cuanto mayor el periodo, más contexto histórico se ve, pero cada vela individual ocupa menos espacio horizontal en pantalla.</w:t>
      </w:r>
    </w:p>
    <w:p>
      <w:pPr>
        <w:pStyle w:val="Heading2"/>
        <w:spacing w:before="160" w:after="80"/>
      </w:pPr>
      <w:r>
        <w:rPr>
          <w:color w:val="0099FF"/>
        </w:rPr>
        <w:t>4.2  Gráfico de velas</w:t>
      </w:r>
    </w:p>
    <w:p>
      <w:pPr>
        <w:spacing w:after="80"/>
      </w:pPr>
      <w:r>
        <w:rPr>
          <w:b w:val="0"/>
          <w:sz w:val="22"/>
        </w:rPr>
        <w:t>Cada vela representa un periodo (un día, una hora o 15 minutos, según el intervalo elegido): vela verde si el cierre quedó por encima de la apertura (sesión alcista), vela roja si quedó por debajo (sesión bajista). La línea vertical de cada vela (mecha) marca el máximo y el mínimo alcanzados en ese periodo.</w:t>
      </w:r>
    </w:p>
    <w:p>
      <w:pPr>
        <w:jc w:val="center"/>
      </w:pPr>
      <w:r>
        <w:drawing>
          <wp:inline xmlns:a="http://schemas.openxmlformats.org/drawingml/2006/main" xmlns:pic="http://schemas.openxmlformats.org/drawingml/2006/picture">
            <wp:extent cx="5760720" cy="1907851"/>
            <wp:docPr id="10" name="Picture 10"/>
            <wp:cNvGraphicFramePr>
              <a:graphicFrameLocks noChangeAspect="1"/>
            </wp:cNvGraphicFramePr>
            <a:graphic>
              <a:graphicData uri="http://schemas.openxmlformats.org/drawingml/2006/picture">
                <pic:pic>
                  <pic:nvPicPr>
                    <pic:cNvPr id="0" name="precio_velas.png"/>
                    <pic:cNvPicPr/>
                  </pic:nvPicPr>
                  <pic:blipFill>
                    <a:blip r:embed="rId18"/>
                    <a:stretch>
                      <a:fillRect/>
                    </a:stretch>
                  </pic:blipFill>
                  <pic:spPr>
                    <a:xfrm>
                      <a:off x="0" y="0"/>
                      <a:ext cx="5760720" cy="1907851"/>
                    </a:xfrm>
                    <a:prstGeom prst="rect"/>
                  </pic:spPr>
                </pic:pic>
              </a:graphicData>
            </a:graphic>
          </wp:inline>
        </w:drawing>
      </w:r>
    </w:p>
    <w:p>
      <w:pPr>
        <w:jc w:val="center"/>
      </w:pPr>
      <w:r>
        <w:rPr>
          <w:i/>
          <w:color w:val="444455"/>
          <w:sz w:val="18"/>
        </w:rPr>
        <w:t>Gráfico de velas con medias móviles MA20 y MA50.</w:t>
      </w:r>
    </w:p>
    <w:p/>
    <w:p>
      <w:pPr>
        <w:spacing w:after="80"/>
      </w:pPr>
      <w:r>
        <w:rPr>
          <w:b/>
          <w:sz w:val="22"/>
        </w:rPr>
        <w:t>Los ejes de coordenadas:</w:t>
      </w:r>
    </w:p>
    <w:p>
      <w:pPr>
        <w:spacing w:after="80"/>
        <w:ind w:left="340"/>
      </w:pPr>
      <w:r>
        <w:rPr>
          <w:sz w:val="22"/>
        </w:rPr>
        <w:t>• Eje X (horizontal): el tiempo. Cada vela ocupa una posición fija según su fecha (o fecha y hora, en los intervalos intradía); las velas más a la derecha son las más recientes.</w:t>
      </w:r>
    </w:p>
    <w:p>
      <w:pPr>
        <w:spacing w:after="80"/>
        <w:ind w:left="340"/>
      </w:pPr>
      <w:r>
        <w:rPr>
          <w:sz w:val="22"/>
        </w:rPr>
        <w:t>• Eje Y (vertical, a la derecha del gráfico): el precio del activo en dólares. Cuanto más arriba está dibujada una vela, mayor era el precio del activo en ese periodo.</w:t>
      </w:r>
    </w:p>
    <w:p>
      <w:pPr>
        <w:spacing w:after="80"/>
      </w:pPr>
      <w:r>
        <w:rPr>
          <w:b/>
          <w:sz w:val="22"/>
        </w:rPr>
        <w:t>Qué representa cada vela (variables OHLC):</w:t>
      </w:r>
    </w:p>
    <w:p>
      <w:pPr>
        <w:spacing w:after="80"/>
      </w:pPr>
      <w:r>
        <w:rPr>
          <w:b w:val="0"/>
          <w:sz w:val="22"/>
        </w:rPr>
        <w:t>La posición y el tamaño de cada vela codifican cuatro precios de ese periodo, conocidos como OHLC (Open-High-Low-Close):</w:t>
      </w:r>
    </w:p>
    <w:p>
      <w:pPr>
        <w:spacing w:after="80"/>
        <w:ind w:left="340"/>
      </w:pPr>
      <w:r>
        <w:rPr>
          <w:sz w:val="22"/>
        </w:rPr>
        <w:t>• Open (apertura): precio al que empezó a cotizar el activo en ese periodo. Es uno de los dos extremos del cuerpo (rectángulo) de la vela.</w:t>
      </w:r>
    </w:p>
    <w:p>
      <w:pPr>
        <w:spacing w:after="80"/>
        <w:ind w:left="340"/>
      </w:pPr>
      <w:r>
        <w:rPr>
          <w:sz w:val="22"/>
        </w:rPr>
        <w:t>• Close (cierre): precio al que terminó cotizando ese periodo. Es el otro extremo del cuerpo. Si el cierre queda por encima de la apertura, el cuerpo se pinta verde (subió); si queda por debajo, rojo (bajó).</w:t>
      </w:r>
    </w:p>
    <w:p>
      <w:pPr>
        <w:spacing w:after="80"/>
        <w:ind w:left="340"/>
      </w:pPr>
      <w:r>
        <w:rPr>
          <w:sz w:val="22"/>
        </w:rPr>
        <w:t>• High (máximo): el precio más alto alcanzado durante el periodo. Marca el extremo superior de la mecha (la línea fina que sobresale del cuerpo).</w:t>
      </w:r>
    </w:p>
    <w:p>
      <w:pPr>
        <w:spacing w:after="80"/>
        <w:ind w:left="340"/>
      </w:pPr>
      <w:r>
        <w:rPr>
          <w:sz w:val="22"/>
        </w:rPr>
        <w:t>• Low (mínimo): el precio más bajo alcanzado durante el periodo. Marca el extremo inferior de la mecha.</w:t>
      </w:r>
    </w:p>
    <w:p>
      <w:pPr>
        <w:spacing w:after="80"/>
      </w:pPr>
      <w:r>
        <w:rPr>
          <w:b w:val="0"/>
          <w:sz w:val="22"/>
        </w:rPr>
        <w:t>En resumen: el cuerpo de la vela (la parte ancha) va de Open a Close, y las mechas (las líneas finas de arriba y abajo) llegan hasta el High y el Low. Una mecha larga indica que el precio osciló mucho durante ese periodo antes de asentarse en su cierre.</w:t>
      </w:r>
    </w:p>
    <w:p>
      <w:pPr>
        <w:spacing w:after="80"/>
      </w:pPr>
      <w:r>
        <w:rPr>
          <w:b/>
          <w:sz w:val="22"/>
        </w:rPr>
        <w:t>Qué significa el tamaño de la vela:</w:t>
      </w:r>
    </w:p>
    <w:p>
      <w:pPr>
        <w:spacing w:after="80"/>
        <w:ind w:left="340"/>
      </w:pPr>
      <w:r>
        <w:rPr>
          <w:sz w:val="22"/>
        </w:rPr>
        <w:t>• Cuerpo grande (mucha distancia entre Open y Close): movimiento fuerte y decidido en esa sesión, con mucha diferencia entre el precio de apertura y el de cierre. Cuanto más grande el cuerpo, más contundente fue la subida (verde) o la bajada (roja).</w:t>
      </w:r>
    </w:p>
    <w:p>
      <w:pPr>
        <w:spacing w:after="80"/>
        <w:ind w:left="340"/>
      </w:pPr>
      <w:r>
        <w:rPr>
          <w:sz w:val="22"/>
        </w:rPr>
        <w:t>• Cuerpo pequeño o casi inexistente (Open y Close muy parecidos): indecisión del mercado en ese periodo — compradores y vendedores se compensaron y el precio terminó casi donde empezó, aunque haya podido moverse mucho por el camino (mechas largas). Suele preceder a un cambio de tendencia.</w:t>
      </w:r>
    </w:p>
    <w:p>
      <w:pPr>
        <w:spacing w:after="80"/>
        <w:ind w:left="340"/>
      </w:pPr>
      <w:r>
        <w:rPr>
          <w:sz w:val="22"/>
        </w:rPr>
        <w:t>• Mechas largas con cuerpo pequeño: el precio llegó a moverse mucho durante el periodo (hasta el High o el Low) pero acabó volviendo cerca de donde empezó, señal de que el movimiento encontró resistencia.</w:t>
      </w:r>
    </w:p>
    <w:p>
      <w:pPr>
        <w:spacing w:after="80"/>
        <w:ind w:left="340"/>
      </w:pPr>
      <w:r>
        <w:rPr>
          <w:sz w:val="22"/>
        </w:rPr>
        <w:t>• Cuerpo grande sin apenas mechas: el precio se movió en una sola dirección de forma sostenida durante todo el periodo, sin apenas retrocesos.</w:t>
      </w:r>
    </w:p>
    <w:p>
      <w:pPr>
        <w:jc w:val="center"/>
      </w:pPr>
      <w:r>
        <w:drawing>
          <wp:inline xmlns:a="http://schemas.openxmlformats.org/drawingml/2006/main" xmlns:pic="http://schemas.openxmlformats.org/drawingml/2006/picture">
            <wp:extent cx="5760720" cy="2061731"/>
            <wp:docPr id="11" name="Picture 11"/>
            <wp:cNvGraphicFramePr>
              <a:graphicFrameLocks noChangeAspect="1"/>
            </wp:cNvGraphicFramePr>
            <a:graphic>
              <a:graphicData uri="http://schemas.openxmlformats.org/drawingml/2006/picture">
                <pic:pic>
                  <pic:nvPicPr>
                    <pic:cNvPr id="0" name="precio_velas_formas.png"/>
                    <pic:cNvPicPr/>
                  </pic:nvPicPr>
                  <pic:blipFill>
                    <a:blip r:embed="rId19"/>
                    <a:stretch>
                      <a:fillRect/>
                    </a:stretch>
                  </pic:blipFill>
                  <pic:spPr>
                    <a:xfrm>
                      <a:off x="0" y="0"/>
                      <a:ext cx="5760720" cy="2061731"/>
                    </a:xfrm>
                    <a:prstGeom prst="rect"/>
                  </pic:spPr>
                </pic:pic>
              </a:graphicData>
            </a:graphic>
          </wp:inline>
        </w:drawing>
      </w:r>
    </w:p>
    <w:p>
      <w:pPr>
        <w:jc w:val="center"/>
      </w:pPr>
      <w:r>
        <w:rPr>
          <w:i/>
          <w:color w:val="444455"/>
          <w:sz w:val="18"/>
        </w:rPr>
        <w:t>Las 4 formas anteriores, para identificarlas visualmente.</w:t>
      </w:r>
    </w:p>
    <w:p/>
    <w:p>
      <w:pPr>
        <w:jc w:val="center"/>
      </w:pPr>
      <w:r>
        <w:drawing>
          <wp:inline xmlns:a="http://schemas.openxmlformats.org/drawingml/2006/main" xmlns:pic="http://schemas.openxmlformats.org/drawingml/2006/picture">
            <wp:extent cx="5760720" cy="1902896"/>
            <wp:docPr id="12" name="Picture 12"/>
            <wp:cNvGraphicFramePr>
              <a:graphicFrameLocks noChangeAspect="1"/>
            </wp:cNvGraphicFramePr>
            <a:graphic>
              <a:graphicData uri="http://schemas.openxmlformats.org/drawingml/2006/picture">
                <pic:pic>
                  <pic:nvPicPr>
                    <pic:cNvPr id="0" name="precio_velas_hover.png"/>
                    <pic:cNvPicPr/>
                  </pic:nvPicPr>
                  <pic:blipFill>
                    <a:blip r:embed="rId20"/>
                    <a:stretch>
                      <a:fillRect/>
                    </a:stretch>
                  </pic:blipFill>
                  <pic:spPr>
                    <a:xfrm>
                      <a:off x="0" y="0"/>
                      <a:ext cx="5760720" cy="1902896"/>
                    </a:xfrm>
                    <a:prstGeom prst="rect"/>
                  </pic:spPr>
                </pic:pic>
              </a:graphicData>
            </a:graphic>
          </wp:inline>
        </w:drawing>
      </w:r>
    </w:p>
    <w:p>
      <w:pPr>
        <w:jc w:val="center"/>
      </w:pPr>
      <w:r>
        <w:rPr>
          <w:i/>
          <w:color w:val="444455"/>
          <w:sz w:val="18"/>
        </w:rPr>
        <w:t>Al pasar el ratón sobre una vela aparece un tooltip en español con sus 4 valores.</w:t>
      </w:r>
    </w:p>
    <w:p/>
    <w:p>
      <w:pPr>
        <w:spacing w:after="80"/>
      </w:pPr>
      <w:r>
        <w:rPr>
          <w:b w:val="0"/>
          <w:sz w:val="22"/>
        </w:rPr>
        <w:t>Pasando el ratón sobre cualquier vela aparece un recuadro (tooltip) con la fecha exacta y sus cuatro valores, ya traducidos: Apertura, Máximo, Mínimo y Cierre, además de una flecha ▲ (subió) o ▼ (bajó) que indica el sentido de esa sesión.</w:t>
      </w:r>
    </w:p>
    <w:p>
      <w:pPr>
        <w:spacing w:after="80"/>
      </w:pPr>
      <w:r>
        <w:rPr>
          <w:b w:val="0"/>
          <w:sz w:val="22"/>
        </w:rPr>
        <w:t>Sobre las velas se dibujan además dos medias móviles de referencia:</w:t>
      </w:r>
    </w:p>
    <w:p>
      <w:pPr>
        <w:spacing w:after="80"/>
        <w:ind w:left="340"/>
      </w:pPr>
      <w:r>
        <w:rPr>
          <w:sz w:val="22"/>
        </w:rPr>
        <w:t>• MA20 (azul): media móvil de los últimos 20 periodos. Reacciona rápido a los cambios de precio.</w:t>
      </w:r>
    </w:p>
    <w:p>
      <w:pPr>
        <w:spacing w:after="80"/>
        <w:ind w:left="340"/>
      </w:pPr>
      <w:r>
        <w:rPr>
          <w:sz w:val="22"/>
        </w:rPr>
        <w:t>• MA50 (naranja): media móvil de los últimos 50 periodos. Más suave, refleja la tendencia de fondo.</w:t>
      </w:r>
    </w:p>
    <w:p>
      <w:pPr>
        <w:spacing w:after="80"/>
        <w:ind w:left="340"/>
      </w:pPr>
      <w:r>
        <w:rPr>
          <w:sz w:val="22"/>
        </w:rPr>
        <w:t>• Cuando la MA20 está por encima de la MA50, suele interpretarse como tendencia alcista a corto plazo; por debajo, como tendencia bajista.</w:t>
      </w:r>
    </w:p>
    <w:tbl>
      <w:tblPr>
        <w:tblStyle w:val="TableGrid"/>
        <w:tblW w:type="auto" w:w="0"/>
        <w:tblLook w:firstColumn="1" w:firstRow="1" w:lastColumn="0" w:lastRow="0" w:noHBand="0" w:noVBand="1" w:val="04A0"/>
      </w:tblPr>
      <w:tblGrid>
        <w:gridCol w:w="9122"/>
      </w:tblGrid>
      <w:tr>
        <w:tc>
          <w:tcPr>
            <w:tcW w:type="dxa" w:w="9122"/>
            <w:shd w:val="clear" w:color="auto" w:fill="E8F0F8"/>
          </w:tcPr>
          <w:p>
            <w:r>
              <w:rPr>
                <w:b/>
                <w:color w:val="0077CC"/>
                <w:sz w:val="22"/>
              </w:rPr>
              <w:t xml:space="preserve">  Herramientas del gráfico:</w:t>
            </w:r>
          </w:p>
          <w:p>
            <w:pPr>
              <w:ind w:left="283"/>
            </w:pPr>
            <w:r>
              <w:rPr>
                <w:sz w:val="20"/>
              </w:rPr>
              <w:t>• La barra de iconos de la esquina superior derecha permite hacer zoom, desplazarte por el histórico, descargar la imagen o resetear la vista.</w:t>
            </w:r>
          </w:p>
          <w:p>
            <w:pPr>
              <w:ind w:left="283"/>
            </w:pPr>
            <w:r>
              <w:rPr>
                <w:sz w:val="20"/>
              </w:rPr>
              <w:t>• Puedes arrastrar sobre el gráfico para hacer zoom en un rango concreto, y usar la rueda del ratón para acercar/alejar.</w:t>
            </w:r>
          </w:p>
          <w:p>
            <w:pPr>
              <w:ind w:left="283"/>
            </w:pPr>
            <w:r>
              <w:rPr>
                <w:sz w:val="20"/>
              </w:rPr>
              <w:t>• Haciendo clic sobre 'AAPL', 'MA20' o 'MA50' en la leyenda puedes ocultar o mostrar esa serie, para ver el gráfico más despejado.</w:t>
            </w:r>
          </w:p>
        </w:tc>
      </w:tr>
    </w:tbl>
    <w:p/>
    <w:p>
      <w:pPr>
        <w:pStyle w:val="Heading2"/>
        <w:spacing w:before="160" w:after="80"/>
      </w:pPr>
      <w:r>
        <w:rPr>
          <w:color w:val="0099FF"/>
        </w:rPr>
        <w:t>4.3  Gráfico de volumen</w:t>
      </w:r>
    </w:p>
    <w:p>
      <w:pPr>
        <w:spacing w:after="80"/>
      </w:pPr>
      <w:r>
        <w:rPr>
          <w:b w:val="0"/>
          <w:sz w:val="22"/>
        </w:rPr>
        <w:t>Debajo del gráfico de velas, un gráfico de barras muestra el volumen (número de acciones negociadas) en cada periodo, sincronizado con el mismo eje de fechas del gráfico de velas: cada barra queda justo debajo de la vela a la que corresponde.</w:t>
      </w:r>
    </w:p>
    <w:p>
      <w:pPr>
        <w:jc w:val="center"/>
      </w:pPr>
      <w:r>
        <w:drawing>
          <wp:inline xmlns:a="http://schemas.openxmlformats.org/drawingml/2006/main" xmlns:pic="http://schemas.openxmlformats.org/drawingml/2006/picture">
            <wp:extent cx="5760720" cy="644210"/>
            <wp:docPr id="13" name="Picture 13"/>
            <wp:cNvGraphicFramePr>
              <a:graphicFrameLocks noChangeAspect="1"/>
            </wp:cNvGraphicFramePr>
            <a:graphic>
              <a:graphicData uri="http://schemas.openxmlformats.org/drawingml/2006/picture">
                <pic:pic>
                  <pic:nvPicPr>
                    <pic:cNvPr id="0" name="precio_volumen.png"/>
                    <pic:cNvPicPr/>
                  </pic:nvPicPr>
                  <pic:blipFill>
                    <a:blip r:embed="rId21"/>
                    <a:stretch>
                      <a:fillRect/>
                    </a:stretch>
                  </pic:blipFill>
                  <pic:spPr>
                    <a:xfrm>
                      <a:off x="0" y="0"/>
                      <a:ext cx="5760720" cy="644210"/>
                    </a:xfrm>
                    <a:prstGeom prst="rect"/>
                  </pic:spPr>
                </pic:pic>
              </a:graphicData>
            </a:graphic>
          </wp:inline>
        </w:drawing>
      </w:r>
    </w:p>
    <w:p>
      <w:pPr>
        <w:jc w:val="center"/>
      </w:pPr>
      <w:r>
        <w:rPr>
          <w:i/>
          <w:color w:val="444455"/>
          <w:sz w:val="18"/>
        </w:rPr>
        <w:t>Gráfico de volumen negociado.</w:t>
      </w:r>
    </w:p>
    <w:p/>
    <w:p>
      <w:pPr>
        <w:spacing w:after="80"/>
      </w:pPr>
      <w:r>
        <w:rPr>
          <w:b/>
          <w:sz w:val="22"/>
        </w:rPr>
        <w:t>Los ejes de coordenadas:</w:t>
      </w:r>
    </w:p>
    <w:p>
      <w:pPr>
        <w:spacing w:after="80"/>
        <w:ind w:left="340"/>
      </w:pPr>
      <w:r>
        <w:rPr>
          <w:sz w:val="22"/>
        </w:rPr>
        <w:t>• Eje X (horizontal): el mismo eje de tiempo que el gráfico de velas de arriba (comparten fechas, aunque este gráfico no muestra las etiquetas de fecha para ahorrar espacio).</w:t>
      </w:r>
    </w:p>
    <w:p>
      <w:pPr>
        <w:spacing w:after="80"/>
        <w:ind w:left="340"/>
      </w:pPr>
      <w:r>
        <w:rPr>
          <w:sz w:val="22"/>
        </w:rPr>
        <w:t>• Eje Y (vertical, a la derecha): el número de acciones negociadas en ese periodo, abreviado (p. ej. '100M' = 100 millones de acciones).</w:t>
      </w:r>
    </w:p>
    <w:p>
      <w:pPr>
        <w:spacing w:after="80"/>
      </w:pPr>
      <w:r>
        <w:rPr>
          <w:b/>
          <w:sz w:val="22"/>
        </w:rPr>
        <w:t>Qué significan las barras y sus colores:</w:t>
      </w:r>
    </w:p>
    <w:p>
      <w:pPr>
        <w:spacing w:after="80"/>
        <w:ind w:left="340"/>
      </w:pPr>
      <w:r>
        <w:rPr>
          <w:sz w:val="22"/>
        </w:rPr>
        <w:t>• La altura de cada barra es el volumen negociado en ese periodo: cuanto más alta, más acciones cambiaron de manos.</w:t>
      </w:r>
    </w:p>
    <w:p>
      <w:pPr>
        <w:spacing w:after="80"/>
        <w:ind w:left="340"/>
      </w:pPr>
      <w:r>
        <w:rPr>
          <w:sz w:val="22"/>
        </w:rPr>
        <w:t>• Cada barra hereda el color de su vela correspondiente: verde si esa sesión cerró en subida (close &gt; open), roja si cerró en bajada.</w:t>
      </w:r>
    </w:p>
    <w:p>
      <w:pPr>
        <w:spacing w:after="80"/>
        <w:ind w:left="340"/>
      </w:pPr>
      <w:r>
        <w:rPr>
          <w:sz w:val="22"/>
        </w:rPr>
        <w:t>• Los picos de volumen suelen coincidir con noticias relevantes (resultados, anuncios) y ayudan a confirmar si un movimiento de precio tiene respaldo (mucho volumen) o es poco significativo (volumen bajo).</w:t>
      </w:r>
    </w:p>
    <w:p>
      <w:pPr>
        <w:jc w:val="center"/>
      </w:pPr>
      <w:r>
        <w:drawing>
          <wp:inline xmlns:a="http://schemas.openxmlformats.org/drawingml/2006/main" xmlns:pic="http://schemas.openxmlformats.org/drawingml/2006/picture">
            <wp:extent cx="5760720" cy="639254"/>
            <wp:docPr id="14" name="Picture 14"/>
            <wp:cNvGraphicFramePr>
              <a:graphicFrameLocks noChangeAspect="1"/>
            </wp:cNvGraphicFramePr>
            <a:graphic>
              <a:graphicData uri="http://schemas.openxmlformats.org/drawingml/2006/picture">
                <pic:pic>
                  <pic:nvPicPr>
                    <pic:cNvPr id="0" name="precio_volumen_hover.png"/>
                    <pic:cNvPicPr/>
                  </pic:nvPicPr>
                  <pic:blipFill>
                    <a:blip r:embed="rId22"/>
                    <a:stretch>
                      <a:fillRect/>
                    </a:stretch>
                  </pic:blipFill>
                  <pic:spPr>
                    <a:xfrm>
                      <a:off x="0" y="0"/>
                      <a:ext cx="5760720" cy="639254"/>
                    </a:xfrm>
                    <a:prstGeom prst="rect"/>
                  </pic:spPr>
                </pic:pic>
              </a:graphicData>
            </a:graphic>
          </wp:inline>
        </w:drawing>
      </w:r>
    </w:p>
    <w:p>
      <w:pPr>
        <w:jc w:val="center"/>
      </w:pPr>
      <w:r>
        <w:rPr>
          <w:i/>
          <w:color w:val="444455"/>
          <w:sz w:val="18"/>
        </w:rPr>
        <w:t>Tooltip del gráfico de volumen: fecha y número de acciones negociadas.</w:t>
      </w:r>
    </w:p>
    <w:p/>
    <w:p>
      <w:pPr>
        <w:spacing w:after="80"/>
      </w:pPr>
      <w:r>
        <w:rPr>
          <w:b w:val="0"/>
          <w:sz w:val="22"/>
        </w:rPr>
        <w:t>Pasando el ratón sobre cualquier barra aparece un tooltip con la fecha de ese periodo y el volumen exacto negociado (por ejemplo, '(Jun 26, 2026, 260M)' significa 260 millones de acciones negociadas ese día).</w:t>
      </w:r>
    </w:p>
    <w:p>
      <w:r>
        <w:br w:type="page"/>
      </w:r>
    </w:p>
    <w:p>
      <w:pPr>
        <w:pStyle w:val="Heading1"/>
        <w:spacing w:before="280" w:after="80"/>
      </w:pPr>
      <w:r>
        <w:rPr>
          <w:color w:val="0077CC"/>
        </w:rPr>
        <w:t>5. Pestaña Cartera</w:t>
      </w:r>
    </w:p>
    <w:p>
      <w:pPr>
        <w:spacing w:after="80"/>
      </w:pPr>
      <w:r>
        <w:rPr>
          <w:b w:val="0"/>
          <w:sz w:val="22"/>
        </w:rPr>
        <w:t>La pestaña Cartera muestra el estado de tu cuenta de Paper Trading en Alpaca: cuánto valen tus posiciones abiertas, cuánto ganas o pierdes con ellas, el detalle de cada una y cómo ha evolucionado el valor total de la cuenta en el último mes. Se actualiza automáticamente cada 3 minutos.</w:t>
      </w:r>
    </w:p>
    <w:p/>
    <w:p>
      <w:pPr>
        <w:pStyle w:val="Heading2"/>
        <w:spacing w:before="160" w:after="80"/>
      </w:pPr>
      <w:r>
        <w:rPr>
          <w:color w:val="0099FF"/>
        </w:rPr>
        <w:t>5.1  Tarjetas de resumen</w:t>
      </w:r>
    </w:p>
    <w:p>
      <w:pPr>
        <w:jc w:val="center"/>
      </w:pPr>
      <w:r>
        <w:drawing>
          <wp:inline xmlns:a="http://schemas.openxmlformats.org/drawingml/2006/main" xmlns:pic="http://schemas.openxmlformats.org/drawingml/2006/picture">
            <wp:extent cx="5760720" cy="433524"/>
            <wp:docPr id="15" name="Picture 15"/>
            <wp:cNvGraphicFramePr>
              <a:graphicFrameLocks noChangeAspect="1"/>
            </wp:cNvGraphicFramePr>
            <a:graphic>
              <a:graphicData uri="http://schemas.openxmlformats.org/drawingml/2006/picture">
                <pic:pic>
                  <pic:nvPicPr>
                    <pic:cNvPr id="0" name="cartera_kpis.png"/>
                    <pic:cNvPicPr/>
                  </pic:nvPicPr>
                  <pic:blipFill>
                    <a:blip r:embed="rId23"/>
                    <a:stretch>
                      <a:fillRect/>
                    </a:stretch>
                  </pic:blipFill>
                  <pic:spPr>
                    <a:xfrm>
                      <a:off x="0" y="0"/>
                      <a:ext cx="5760720" cy="433524"/>
                    </a:xfrm>
                    <a:prstGeom prst="rect"/>
                  </pic:spPr>
                </pic:pic>
              </a:graphicData>
            </a:graphic>
          </wp:inline>
        </w:drawing>
      </w:r>
    </w:p>
    <w:p>
      <w:pPr>
        <w:jc w:val="center"/>
      </w:pPr>
      <w:r>
        <w:rPr>
          <w:i/>
          <w:color w:val="444455"/>
          <w:sz w:val="18"/>
        </w:rPr>
        <w:t>Tarjetas de resumen de la Pestaña Cartera.</w:t>
      </w:r>
    </w:p>
    <w:p/>
    <w:tbl>
      <w:tblPr>
        <w:tblStyle w:val="TableGrid"/>
        <w:tblW w:type="auto" w:w="0"/>
        <w:jc w:val="center"/>
        <w:tblLook w:firstColumn="1" w:firstRow="1" w:lastColumn="0" w:lastRow="0" w:noHBand="0" w:noVBand="1" w:val="04A0"/>
      </w:tblPr>
      <w:tblGrid>
        <w:gridCol w:w="4561"/>
        <w:gridCol w:w="4561"/>
      </w:tblGrid>
      <w:tr>
        <w:tc>
          <w:tcPr>
            <w:tcW w:type="dxa" w:w="2880"/>
            <w:shd w:val="clear" w:color="auto" w:fill="0077CC"/>
          </w:tcPr>
          <w:p>
            <w:pPr>
              <w:jc w:val="center"/>
            </w:pPr>
            <w:r>
              <w:rPr>
                <w:b/>
                <w:color w:val="FFFFFF"/>
                <w:sz w:val="20"/>
              </w:rPr>
              <w:t>Tarjeta</w:t>
            </w:r>
          </w:p>
        </w:tc>
        <w:tc>
          <w:tcPr>
            <w:tcW w:type="dxa" w:w="6480"/>
            <w:shd w:val="clear" w:color="auto" w:fill="0077CC"/>
          </w:tcPr>
          <w:p>
            <w:pPr>
              <w:jc w:val="center"/>
            </w:pPr>
            <w:r>
              <w:rPr>
                <w:b/>
                <w:color w:val="FFFFFF"/>
                <w:sz w:val="20"/>
              </w:rPr>
              <w:t>Qué significa</w:t>
            </w:r>
          </w:p>
        </w:tc>
      </w:tr>
      <w:tr>
        <w:tc>
          <w:tcPr>
            <w:tcW w:type="dxa" w:w="2880"/>
            <w:shd w:val="clear" w:color="auto" w:fill="F0F5FF"/>
          </w:tcPr>
          <w:p>
            <w:pPr>
              <w:jc w:val="center"/>
            </w:pPr>
            <w:r>
              <w:rPr>
                <w:b/>
                <w:sz w:val="20"/>
              </w:rPr>
              <w:t>Valor de las posiciones</w:t>
            </w:r>
          </w:p>
        </w:tc>
        <w:tc>
          <w:tcPr>
            <w:tcW w:type="dxa" w:w="6480"/>
            <w:shd w:val="clear" w:color="auto" w:fill="F0F5FF"/>
          </w:tcPr>
          <w:p>
            <w:r>
              <w:rPr>
                <w:sz w:val="20"/>
              </w:rPr>
              <w:t>Cuánto valen HOY, en total, las acciones que tienes compradas (cantidad × precio actual de cada una). No incluye el efectivo que tengas sin invertir — solo lo que está metido en bolsa.</w:t>
            </w:r>
          </w:p>
        </w:tc>
      </w:tr>
      <w:tr>
        <w:tc>
          <w:tcPr>
            <w:tcW w:type="dxa" w:w="2880"/>
            <w:shd w:val="clear" w:color="auto" w:fill="FFFFFF"/>
          </w:tcPr>
          <w:p>
            <w:pPr>
              <w:jc w:val="center"/>
            </w:pPr>
            <w:r>
              <w:rPr>
                <w:b/>
                <w:sz w:val="20"/>
              </w:rPr>
              <w:t>Ganancia / Pérdida no realizada</w:t>
            </w:r>
          </w:p>
        </w:tc>
        <w:tc>
          <w:tcPr>
            <w:tcW w:type="dxa" w:w="6480"/>
            <w:shd w:val="clear" w:color="auto" w:fill="FFFFFF"/>
          </w:tcPr>
          <w:p>
            <w:r>
              <w:rPr>
                <w:sz w:val="20"/>
              </w:rPr>
              <w:t>Cuánto ganarías o perderías si vendieras todo ahora mismo: la diferencia entre lo que pagaste por cada acción (precio de entrada) y lo que vale hoy. Se llama 'no realizada' porque todavía no has vendido — el número sube y baja con el precio en tiempo real, y solo se convierte en ganancia o pérdida real cuando cierras (vendes) la posición. Verde si es positiva, rojo si es negativa.</w:t>
            </w:r>
          </w:p>
        </w:tc>
      </w:tr>
      <w:tr>
        <w:tc>
          <w:tcPr>
            <w:tcW w:type="dxa" w:w="2880"/>
            <w:shd w:val="clear" w:color="auto" w:fill="F0F5FF"/>
          </w:tcPr>
          <w:p>
            <w:pPr>
              <w:jc w:val="center"/>
            </w:pPr>
            <w:r>
              <w:rPr>
                <w:b/>
                <w:sz w:val="20"/>
              </w:rPr>
              <w:t>Posiciones abiertas</w:t>
            </w:r>
          </w:p>
        </w:tc>
        <w:tc>
          <w:tcPr>
            <w:tcW w:type="dxa" w:w="6480"/>
            <w:shd w:val="clear" w:color="auto" w:fill="F0F5FF"/>
          </w:tcPr>
          <w:p>
            <w:r>
              <w:rPr>
                <w:sz w:val="20"/>
              </w:rPr>
              <w:t>El número de acciones distintas que tienes compradas ahora mismo (por ejemplo, si tienes AAPL, TSLA y NVDA, aquí pone 3).</w:t>
            </w:r>
          </w:p>
        </w:tc>
      </w:tr>
    </w:tbl>
    <w:p/>
    <w:p>
      <w:pPr>
        <w:jc w:val="center"/>
      </w:pPr>
      <w:r>
        <w:drawing>
          <wp:inline xmlns:a="http://schemas.openxmlformats.org/drawingml/2006/main" xmlns:pic="http://schemas.openxmlformats.org/drawingml/2006/picture">
            <wp:extent cx="5760720" cy="1055642"/>
            <wp:docPr id="16" name="Picture 16"/>
            <wp:cNvGraphicFramePr>
              <a:graphicFrameLocks noChangeAspect="1"/>
            </wp:cNvGraphicFramePr>
            <a:graphic>
              <a:graphicData uri="http://schemas.openxmlformats.org/drawingml/2006/picture">
                <pic:pic>
                  <pic:nvPicPr>
                    <pic:cNvPr id="0" name="cartera_kpi_tooltip.png"/>
                    <pic:cNvPicPr/>
                  </pic:nvPicPr>
                  <pic:blipFill>
                    <a:blip r:embed="rId24"/>
                    <a:stretch>
                      <a:fillRect/>
                    </a:stretch>
                  </pic:blipFill>
                  <pic:spPr>
                    <a:xfrm>
                      <a:off x="0" y="0"/>
                      <a:ext cx="5760720" cy="1055642"/>
                    </a:xfrm>
                    <a:prstGeom prst="rect"/>
                  </pic:spPr>
                </pic:pic>
              </a:graphicData>
            </a:graphic>
          </wp:inline>
        </w:drawing>
      </w:r>
    </w:p>
    <w:p>
      <w:pPr>
        <w:jc w:val="center"/>
      </w:pPr>
      <w:r>
        <w:rPr>
          <w:i/>
          <w:color w:val="444455"/>
          <w:sz w:val="18"/>
        </w:rPr>
        <w:t>Cada tarjeta tiene un icono ⓘ con la misma explicación, por si la necesitas sin abrir el manual.</w:t>
      </w:r>
    </w:p>
    <w:p/>
    <w:p>
      <w:pPr>
        <w:pStyle w:val="Heading2"/>
        <w:spacing w:before="160" w:after="80"/>
      </w:pPr>
      <w:r>
        <w:rPr>
          <w:color w:val="0099FF"/>
        </w:rPr>
        <w:t>5.2  Tabla de posiciones abiertas</w:t>
      </w:r>
    </w:p>
    <w:p>
      <w:pPr>
        <w:spacing w:after="80"/>
      </w:pPr>
      <w:r>
        <w:rPr>
          <w:b w:val="0"/>
          <w:sz w:val="22"/>
        </w:rPr>
        <w:t>Detalla, acción por acción, todo lo que tienes comprado. Mismo estilo de tabla que en la Pestaña Análisis: cabecera con filtros, columnas ordenables y paginación. Además, cada cabecera con nombre técnico tiene su propio tooltip: pasa el ratón por encima del título de la columna y aparece la explicación, sin necesidad de abrir este manual.</w:t>
      </w:r>
    </w:p>
    <w:p>
      <w:pPr>
        <w:jc w:val="center"/>
      </w:pPr>
      <w:r>
        <w:drawing>
          <wp:inline xmlns:a="http://schemas.openxmlformats.org/drawingml/2006/main" xmlns:pic="http://schemas.openxmlformats.org/drawingml/2006/picture">
            <wp:extent cx="5760720" cy="963611"/>
            <wp:docPr id="17" name="Picture 17"/>
            <wp:cNvGraphicFramePr>
              <a:graphicFrameLocks noChangeAspect="1"/>
            </wp:cNvGraphicFramePr>
            <a:graphic>
              <a:graphicData uri="http://schemas.openxmlformats.org/drawingml/2006/picture">
                <pic:pic>
                  <pic:nvPicPr>
                    <pic:cNvPr id="0" name="cartera_tabla.png"/>
                    <pic:cNvPicPr/>
                  </pic:nvPicPr>
                  <pic:blipFill>
                    <a:blip r:embed="rId25"/>
                    <a:stretch>
                      <a:fillRect/>
                    </a:stretch>
                  </pic:blipFill>
                  <pic:spPr>
                    <a:xfrm>
                      <a:off x="0" y="0"/>
                      <a:ext cx="5760720" cy="963611"/>
                    </a:xfrm>
                    <a:prstGeom prst="rect"/>
                  </pic:spPr>
                </pic:pic>
              </a:graphicData>
            </a:graphic>
          </wp:inline>
        </w:drawing>
      </w:r>
    </w:p>
    <w:p>
      <w:pPr>
        <w:jc w:val="center"/>
      </w:pPr>
      <w:r>
        <w:rPr>
          <w:i/>
          <w:color w:val="444455"/>
          <w:sz w:val="18"/>
        </w:rPr>
        <w:t>Tabla de posiciones abiertas.</w:t>
      </w:r>
    </w:p>
    <w:p/>
    <w:tbl>
      <w:tblPr>
        <w:tblStyle w:val="TableGrid"/>
        <w:tblW w:type="auto" w:w="0"/>
        <w:jc w:val="center"/>
        <w:tblLook w:firstColumn="1" w:firstRow="1" w:lastColumn="0" w:lastRow="0" w:noHBand="0" w:noVBand="1" w:val="04A0"/>
      </w:tblPr>
      <w:tblGrid>
        <w:gridCol w:w="4561"/>
        <w:gridCol w:w="4561"/>
      </w:tblGrid>
      <w:tr>
        <w:tc>
          <w:tcPr>
            <w:tcW w:type="dxa" w:w="2448"/>
            <w:shd w:val="clear" w:color="auto" w:fill="0077CC"/>
          </w:tcPr>
          <w:p>
            <w:pPr>
              <w:jc w:val="center"/>
            </w:pPr>
            <w:r>
              <w:rPr>
                <w:b/>
                <w:color w:val="FFFFFF"/>
                <w:sz w:val="20"/>
              </w:rPr>
              <w:t>Columna</w:t>
            </w:r>
          </w:p>
        </w:tc>
        <w:tc>
          <w:tcPr>
            <w:tcW w:type="dxa" w:w="6912"/>
            <w:shd w:val="clear" w:color="auto" w:fill="0077CC"/>
          </w:tcPr>
          <w:p>
            <w:pPr>
              <w:jc w:val="center"/>
            </w:pPr>
            <w:r>
              <w:rPr>
                <w:b/>
                <w:color w:val="FFFFFF"/>
                <w:sz w:val="20"/>
              </w:rPr>
              <w:t>Qué significa</w:t>
            </w:r>
          </w:p>
        </w:tc>
      </w:tr>
      <w:tr>
        <w:tc>
          <w:tcPr>
            <w:tcW w:type="dxa" w:w="2448"/>
            <w:shd w:val="clear" w:color="auto" w:fill="F0F5FF"/>
          </w:tcPr>
          <w:p>
            <w:pPr>
              <w:jc w:val="center"/>
            </w:pPr>
            <w:r>
              <w:rPr>
                <w:b/>
                <w:sz w:val="20"/>
              </w:rPr>
              <w:t>Símbolo</w:t>
            </w:r>
          </w:p>
        </w:tc>
        <w:tc>
          <w:tcPr>
            <w:tcW w:type="dxa" w:w="6912"/>
            <w:shd w:val="clear" w:color="auto" w:fill="F0F5FF"/>
          </w:tcPr>
          <w:p>
            <w:r>
              <w:rPr>
                <w:sz w:val="20"/>
              </w:rPr>
              <w:t>El ticker de la acción que tienes comprada (p. ej. AAPL).</w:t>
            </w:r>
          </w:p>
        </w:tc>
      </w:tr>
      <w:tr>
        <w:tc>
          <w:tcPr>
            <w:tcW w:type="dxa" w:w="2448"/>
            <w:shd w:val="clear" w:color="auto" w:fill="FFFFFF"/>
          </w:tcPr>
          <w:p>
            <w:pPr>
              <w:jc w:val="center"/>
            </w:pPr>
            <w:r>
              <w:rPr>
                <w:b/>
                <w:sz w:val="20"/>
              </w:rPr>
              <w:t>Fecha compra</w:t>
            </w:r>
          </w:p>
        </w:tc>
        <w:tc>
          <w:tcPr>
            <w:tcW w:type="dxa" w:w="6912"/>
            <w:shd w:val="clear" w:color="auto" w:fill="FFFFFF"/>
          </w:tcPr>
          <w:p>
            <w:r>
              <w:rPr>
                <w:sz w:val="20"/>
              </w:rPr>
              <w:t>Fecha de la última compra ejecutada de ese símbolo (si compraste varias veces, se muestra la más reciente).</w:t>
            </w:r>
          </w:p>
        </w:tc>
      </w:tr>
      <w:tr>
        <w:tc>
          <w:tcPr>
            <w:tcW w:type="dxa" w:w="2448"/>
            <w:shd w:val="clear" w:color="auto" w:fill="F0F5FF"/>
          </w:tcPr>
          <w:p>
            <w:pPr>
              <w:jc w:val="center"/>
            </w:pPr>
            <w:r>
              <w:rPr>
                <w:b/>
                <w:sz w:val="20"/>
              </w:rPr>
              <w:t>Cantidad</w:t>
            </w:r>
          </w:p>
        </w:tc>
        <w:tc>
          <w:tcPr>
            <w:tcW w:type="dxa" w:w="6912"/>
            <w:shd w:val="clear" w:color="auto" w:fill="F0F5FF"/>
          </w:tcPr>
          <w:p>
            <w:r>
              <w:rPr>
                <w:sz w:val="20"/>
              </w:rPr>
              <w:t>Número de acciones que posees de ese símbolo.</w:t>
            </w:r>
          </w:p>
        </w:tc>
      </w:tr>
      <w:tr>
        <w:tc>
          <w:tcPr>
            <w:tcW w:type="dxa" w:w="2448"/>
            <w:shd w:val="clear" w:color="auto" w:fill="FFFFFF"/>
          </w:tcPr>
          <w:p>
            <w:pPr>
              <w:jc w:val="center"/>
            </w:pPr>
            <w:r>
              <w:rPr>
                <w:b/>
                <w:sz w:val="20"/>
              </w:rPr>
              <w:t>Precio compra</w:t>
            </w:r>
          </w:p>
        </w:tc>
        <w:tc>
          <w:tcPr>
            <w:tcW w:type="dxa" w:w="6912"/>
            <w:shd w:val="clear" w:color="auto" w:fill="FFFFFF"/>
          </w:tcPr>
          <w:p>
            <w:r>
              <w:rPr>
                <w:sz w:val="20"/>
              </w:rPr>
              <w:t>Precio de UNA acción: la media a la que compraste (si compraste en varias veces, es la media ponderada). No es el total que gastaste — para eso está la columna 'Total invertido'. No cambia con el mercado.</w:t>
            </w:r>
          </w:p>
        </w:tc>
      </w:tr>
      <w:tr>
        <w:tc>
          <w:tcPr>
            <w:tcW w:type="dxa" w:w="2448"/>
            <w:shd w:val="clear" w:color="auto" w:fill="F0F5FF"/>
          </w:tcPr>
          <w:p>
            <w:pPr>
              <w:jc w:val="center"/>
            </w:pPr>
            <w:r>
              <w:rPr>
                <w:b/>
                <w:sz w:val="20"/>
              </w:rPr>
              <w:t>Precio actual</w:t>
            </w:r>
          </w:p>
        </w:tc>
        <w:tc>
          <w:tcPr>
            <w:tcW w:type="dxa" w:w="6912"/>
            <w:shd w:val="clear" w:color="auto" w:fill="F0F5FF"/>
          </w:tcPr>
          <w:p>
            <w:r>
              <w:rPr>
                <w:sz w:val="20"/>
              </w:rPr>
              <w:t>Precio de UNA acción ahora mismo, en vivo. Ojo: esto NO es el valor de tu posición, es solo la cotización por acción.</w:t>
            </w:r>
          </w:p>
        </w:tc>
      </w:tr>
      <w:tr>
        <w:tc>
          <w:tcPr>
            <w:tcW w:type="dxa" w:w="2448"/>
            <w:shd w:val="clear" w:color="auto" w:fill="FFFFFF"/>
          </w:tcPr>
          <w:p>
            <w:pPr>
              <w:jc w:val="center"/>
            </w:pPr>
            <w:r>
              <w:rPr>
                <w:b/>
                <w:sz w:val="20"/>
              </w:rPr>
              <w:t>Total invertido</w:t>
            </w:r>
          </w:p>
        </w:tc>
        <w:tc>
          <w:tcPr>
            <w:tcW w:type="dxa" w:w="6912"/>
            <w:shd w:val="clear" w:color="auto" w:fill="FFFFFF"/>
          </w:tcPr>
          <w:p>
            <w:r>
              <w:rPr>
                <w:sz w:val="20"/>
              </w:rPr>
              <w:t>Lo que gastaste EN TOTAL comprando ese símbolo: Cantidad × Precio compra. Es un importe fijo — no cambia aunque el precio de mercado suba o baje, porque es lo que realmente pagaste.</w:t>
            </w:r>
          </w:p>
        </w:tc>
      </w:tr>
      <w:tr>
        <w:tc>
          <w:tcPr>
            <w:tcW w:type="dxa" w:w="2448"/>
            <w:shd w:val="clear" w:color="auto" w:fill="F0F5FF"/>
          </w:tcPr>
          <w:p>
            <w:pPr>
              <w:jc w:val="center"/>
            </w:pPr>
            <w:r>
              <w:rPr>
                <w:b/>
                <w:sz w:val="20"/>
              </w:rPr>
              <w:t>Valor de la posición</w:t>
            </w:r>
          </w:p>
        </w:tc>
        <w:tc>
          <w:tcPr>
            <w:tcW w:type="dxa" w:w="6912"/>
            <w:shd w:val="clear" w:color="auto" w:fill="F0F5FF"/>
          </w:tcPr>
          <w:p>
            <w:r>
              <w:rPr>
                <w:sz w:val="20"/>
              </w:rPr>
              <w:t>Cuánto vale HOY toda esa posición en conjunto: Cantidad × Precio actual. Compara esta columna con 'Total invertido': si es mayor, vas ganando; si es menor, vas perdiendo — es la forma más directa de ver de un vistazo si estás ganando o perdiendo hoy con ese símbolo.</w:t>
            </w:r>
          </w:p>
        </w:tc>
      </w:tr>
      <w:tr>
        <w:tc>
          <w:tcPr>
            <w:tcW w:type="dxa" w:w="2448"/>
            <w:shd w:val="clear" w:color="auto" w:fill="FFFFFF"/>
          </w:tcPr>
          <w:p>
            <w:pPr>
              <w:jc w:val="center"/>
            </w:pPr>
            <w:r>
              <w:rPr>
                <w:b/>
                <w:sz w:val="20"/>
              </w:rPr>
              <w:t>Ganancia / Pérdida</w:t>
            </w:r>
          </w:p>
        </w:tc>
        <w:tc>
          <w:tcPr>
            <w:tcW w:type="dxa" w:w="6912"/>
            <w:shd w:val="clear" w:color="auto" w:fill="FFFFFF"/>
          </w:tcPr>
          <w:p>
            <w:r>
              <w:rPr>
                <w:sz w:val="20"/>
              </w:rPr>
              <w:t>La diferencia exacta entre las dos columnas anteriores (Valor de la posición − Total invertido): lo que ganarías o perderías si vendieras esa posición ahora mismo. Todavía no es dinero real hasta que vendas. Verde si vender ahora te daría ganancia, rojo si te daría pérdida.</w:t>
            </w:r>
          </w:p>
        </w:tc>
      </w:tr>
    </w:tbl>
    <w:p/>
    <w:p>
      <w:pPr>
        <w:pStyle w:val="Heading2"/>
        <w:spacing w:before="160" w:after="80"/>
      </w:pPr>
      <w:r>
        <w:rPr>
          <w:color w:val="0099FF"/>
        </w:rPr>
        <w:t>5.3  Evolución del valor de la cuenta</w:t>
      </w:r>
    </w:p>
    <w:p>
      <w:pPr>
        <w:spacing w:after="80"/>
      </w:pPr>
      <w:r>
        <w:rPr>
          <w:b w:val="0"/>
          <w:sz w:val="22"/>
        </w:rPr>
        <w:t>Gráfico de línea con el valor total de la cuenta (efectivo disponible más el valor de todas las posiciones) día a día durante el último mes — a diferencia de las tarjetas de arriba, aquí sí se cuenta el efectivo. Sirve para ver de un vistazo si la cuenta en conjunto está creciendo o encogiendo con el paso de los días, más allá de las posiciones abiertas en este momento.</w:t>
      </w:r>
    </w:p>
    <w:p>
      <w:pPr>
        <w:jc w:val="center"/>
      </w:pPr>
      <w:r>
        <w:drawing>
          <wp:inline xmlns:a="http://schemas.openxmlformats.org/drawingml/2006/main" xmlns:pic="http://schemas.openxmlformats.org/drawingml/2006/picture">
            <wp:extent cx="5760720" cy="3005064"/>
            <wp:docPr id="18" name="Picture 18"/>
            <wp:cNvGraphicFramePr>
              <a:graphicFrameLocks noChangeAspect="1"/>
            </wp:cNvGraphicFramePr>
            <a:graphic>
              <a:graphicData uri="http://schemas.openxmlformats.org/drawingml/2006/picture">
                <pic:pic>
                  <pic:nvPicPr>
                    <pic:cNvPr id="0" name="cartera_equity.png"/>
                    <pic:cNvPicPr/>
                  </pic:nvPicPr>
                  <pic:blipFill>
                    <a:blip r:embed="rId26"/>
                    <a:stretch>
                      <a:fillRect/>
                    </a:stretch>
                  </pic:blipFill>
                  <pic:spPr>
                    <a:xfrm>
                      <a:off x="0" y="0"/>
                      <a:ext cx="5760720" cy="3005064"/>
                    </a:xfrm>
                    <a:prstGeom prst="rect"/>
                  </pic:spPr>
                </pic:pic>
              </a:graphicData>
            </a:graphic>
          </wp:inline>
        </w:drawing>
      </w:r>
    </w:p>
    <w:p>
      <w:pPr>
        <w:jc w:val="center"/>
      </w:pPr>
      <w:r>
        <w:rPr>
          <w:i/>
          <w:color w:val="444455"/>
          <w:sz w:val="18"/>
        </w:rPr>
        <w:t>Evolución del valor total de la cuenta (último mes).</w:t>
      </w:r>
    </w:p>
    <w:p/>
    <w:tbl>
      <w:tblPr>
        <w:tblStyle w:val="TableGrid"/>
        <w:tblW w:type="auto" w:w="0"/>
        <w:tblLook w:firstColumn="1" w:firstRow="1" w:lastColumn="0" w:lastRow="0" w:noHBand="0" w:noVBand="1" w:val="04A0"/>
      </w:tblPr>
      <w:tblGrid>
        <w:gridCol w:w="9122"/>
      </w:tblGrid>
      <w:tr>
        <w:tc>
          <w:tcPr>
            <w:tcW w:type="dxa" w:w="9122"/>
            <w:shd w:val="clear" w:color="auto" w:fill="E8F0F8"/>
          </w:tcPr>
          <w:p>
            <w:r>
              <w:rPr>
                <w:b/>
                <w:color w:val="0077CC"/>
                <w:sz w:val="22"/>
              </w:rPr>
              <w:t xml:space="preserve">  Nota:</w:t>
            </w:r>
          </w:p>
          <w:p>
            <w:pPr>
              <w:ind w:left="283"/>
            </w:pPr>
            <w:r>
              <w:rPr>
                <w:sz w:val="20"/>
              </w:rPr>
              <w:t>• El eje Y no siempre empieza en $0: se ajusta automáticamente al rango de valores del último mes para que se aprecien bien las subidas y bajadas, aunque sean pequeñas en proporción al total de la cuenta.</w:t>
            </w:r>
          </w:p>
          <w:p>
            <w:pPr>
              <w:ind w:left="283"/>
            </w:pPr>
            <w:r>
              <w:rPr>
                <w:sz w:val="20"/>
              </w:rPr>
              <w:t>• Si la cuenta es nueva o no ha habido movimientos, este gráfico puede mostrar una línea plana o el aviso 'Sin historial disponible'.</w:t>
            </w:r>
          </w:p>
        </w:tc>
      </w:tr>
    </w:tbl>
    <w:p/>
    <w:p>
      <w:r>
        <w:br w:type="page"/>
      </w:r>
    </w:p>
    <w:p>
      <w:pPr>
        <w:pStyle w:val="Heading1"/>
        <w:spacing w:before="280" w:after="80"/>
      </w:pPr>
      <w:r>
        <w:rPr>
          <w:color w:val="0077CC"/>
        </w:rPr>
        <w:t>6. Pestaña Historial</w:t>
      </w:r>
    </w:p>
    <w:p>
      <w:pPr>
        <w:spacing w:after="80"/>
      </w:pPr>
      <w:r>
        <w:rPr>
          <w:b w:val="0"/>
          <w:sz w:val="22"/>
        </w:rPr>
        <w:t>La pestaña Historial es la 'memoria' completa de todas las señales generadas a lo largo del tiempo: tanto las del escaneo automático diario del S&amp;P100 como las que tú mismo lanzas manualmente desde la Pestaña Análisis con el botón 'Predecir Señal'. A diferencia de la tabla de Análisis (que solo muestra el resultado del análisis que acabas de lanzar), aquí se acumulan todos los registros — es el archivo scan_log.csv, que va creciendo con cada escaneo.</w:t>
      </w:r>
    </w:p>
    <w:p/>
    <w:p>
      <w:pPr>
        <w:pStyle w:val="Heading2"/>
        <w:spacing w:before="160" w:after="80"/>
      </w:pPr>
      <w:r>
        <w:rPr>
          <w:color w:val="0099FF"/>
        </w:rPr>
        <w:t>6.1  Filtros de la cabecera</w:t>
      </w:r>
    </w:p>
    <w:p>
      <w:pPr>
        <w:jc w:val="center"/>
      </w:pPr>
      <w:r>
        <w:drawing>
          <wp:inline xmlns:a="http://schemas.openxmlformats.org/drawingml/2006/main" xmlns:pic="http://schemas.openxmlformats.org/drawingml/2006/picture">
            <wp:extent cx="5760720" cy="244084"/>
            <wp:docPr id="19" name="Picture 19"/>
            <wp:cNvGraphicFramePr>
              <a:graphicFrameLocks noChangeAspect="1"/>
            </wp:cNvGraphicFramePr>
            <a:graphic>
              <a:graphicData uri="http://schemas.openxmlformats.org/drawingml/2006/picture">
                <pic:pic>
                  <pic:nvPicPr>
                    <pic:cNvPr id="0" name="historial_filtros.png"/>
                    <pic:cNvPicPr/>
                  </pic:nvPicPr>
                  <pic:blipFill>
                    <a:blip r:embed="rId27"/>
                    <a:stretch>
                      <a:fillRect/>
                    </a:stretch>
                  </pic:blipFill>
                  <pic:spPr>
                    <a:xfrm>
                      <a:off x="0" y="0"/>
                      <a:ext cx="5760720" cy="244084"/>
                    </a:xfrm>
                    <a:prstGeom prst="rect"/>
                  </pic:spPr>
                </pic:pic>
              </a:graphicData>
            </a:graphic>
          </wp:inline>
        </w:drawing>
      </w:r>
    </w:p>
    <w:p>
      <w:pPr>
        <w:jc w:val="center"/>
      </w:pPr>
      <w:r>
        <w:rPr>
          <w:i/>
          <w:color w:val="444455"/>
          <w:sz w:val="18"/>
        </w:rPr>
        <w:t>Filtros de la Pestaña Historial.</w:t>
      </w:r>
    </w:p>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0077CC"/>
          </w:tcPr>
          <w:p>
            <w:pPr>
              <w:jc w:val="center"/>
            </w:pPr>
            <w:r>
              <w:rPr>
                <w:b/>
                <w:color w:val="FFFFFF"/>
                <w:sz w:val="20"/>
              </w:rPr>
              <w:t>Filtro</w:t>
            </w:r>
          </w:p>
        </w:tc>
        <w:tc>
          <w:tcPr>
            <w:tcW w:type="dxa" w:w="6768"/>
            <w:shd w:val="clear" w:color="auto" w:fill="0077CC"/>
          </w:tcPr>
          <w:p>
            <w:pPr>
              <w:jc w:val="center"/>
            </w:pPr>
            <w:r>
              <w:rPr>
                <w:b/>
                <w:color w:val="FFFFFF"/>
                <w:sz w:val="20"/>
              </w:rPr>
              <w:t>Descripción</w:t>
            </w:r>
          </w:p>
        </w:tc>
      </w:tr>
      <w:tr>
        <w:tc>
          <w:tcPr>
            <w:tcW w:type="dxa" w:w="2592"/>
            <w:shd w:val="clear" w:color="auto" w:fill="F0F5FF"/>
          </w:tcPr>
          <w:p>
            <w:pPr>
              <w:jc w:val="center"/>
            </w:pPr>
            <w:r>
              <w:rPr>
                <w:b/>
                <w:sz w:val="20"/>
              </w:rPr>
              <w:t>Filtrar por señal</w:t>
            </w:r>
          </w:p>
        </w:tc>
        <w:tc>
          <w:tcPr>
            <w:tcW w:type="dxa" w:w="6768"/>
            <w:shd w:val="clear" w:color="auto" w:fill="F0F5FF"/>
          </w:tcPr>
          <w:p>
            <w:r>
              <w:rPr>
                <w:sz w:val="20"/>
              </w:rPr>
              <w:t>Todas / COMPRAR / VENDER / Débiles. Muestra solo las señales fuertes de compra, de venta, o las marcadas como 'débil' (COMPRAR (débil) / VENDER (débil)).</w:t>
            </w:r>
          </w:p>
        </w:tc>
      </w:tr>
      <w:tr>
        <w:tc>
          <w:tcPr>
            <w:tcW w:type="dxa" w:w="2592"/>
            <w:shd w:val="clear" w:color="auto" w:fill="FFFFFF"/>
          </w:tcPr>
          <w:p>
            <w:pPr>
              <w:jc w:val="center"/>
            </w:pPr>
            <w:r>
              <w:rPr>
                <w:b/>
                <w:sz w:val="20"/>
              </w:rPr>
              <w:t>Buscar símbolo</w:t>
            </w:r>
          </w:p>
        </w:tc>
        <w:tc>
          <w:tcPr>
            <w:tcW w:type="dxa" w:w="6768"/>
            <w:shd w:val="clear" w:color="auto" w:fill="FFFFFF"/>
          </w:tcPr>
          <w:p>
            <w:r>
              <w:rPr>
                <w:sz w:val="20"/>
              </w:rPr>
              <w:t>Campo de texto libre (p. ej. 'AAPL') que filtra la tabla por coincidencia parcial del ticker.</w:t>
            </w:r>
          </w:p>
        </w:tc>
      </w:tr>
      <w:tr>
        <w:tc>
          <w:tcPr>
            <w:tcW w:type="dxa" w:w="2592"/>
            <w:shd w:val="clear" w:color="auto" w:fill="F0F5FF"/>
          </w:tcPr>
          <w:p>
            <w:pPr>
              <w:jc w:val="center"/>
            </w:pPr>
            <w:r>
              <w:rPr>
                <w:b/>
                <w:sz w:val="20"/>
              </w:rPr>
              <w:t>Actualizar</w:t>
            </w:r>
          </w:p>
        </w:tc>
        <w:tc>
          <w:tcPr>
            <w:tcW w:type="dxa" w:w="6768"/>
            <w:shd w:val="clear" w:color="auto" w:fill="F0F5FF"/>
          </w:tcPr>
          <w:p>
            <w:r>
              <w:rPr>
                <w:sz w:val="20"/>
              </w:rPr>
              <w:t>Vuelve a leer el archivo de registro desde disco, por si se ha lanzado un escaneo nuevo mientras tenías la pestaña abierta.</w:t>
            </w:r>
          </w:p>
        </w:tc>
      </w:tr>
    </w:tbl>
    <w:p/>
    <w:p>
      <w:pPr>
        <w:pStyle w:val="Heading2"/>
        <w:spacing w:before="160" w:after="80"/>
      </w:pPr>
      <w:r>
        <w:rPr>
          <w:color w:val="0099FF"/>
        </w:rPr>
        <w:t>6.2  Tabla de registros</w:t>
      </w:r>
    </w:p>
    <w:p>
      <w:pPr>
        <w:spacing w:after="80"/>
      </w:pPr>
      <w:r>
        <w:rPr>
          <w:b w:val="0"/>
          <w:sz w:val="22"/>
        </w:rPr>
        <w:t>Cada fila es una señal generada en un momento concreto. Con cientos de registros acumulados, la tabla usa paginación (50 filas por página) y cada columna se puede ordenar y filtrar, igual que en las demás tablas del dashboard.</w:t>
      </w:r>
    </w:p>
    <w:p>
      <w:pPr>
        <w:jc w:val="center"/>
      </w:pPr>
      <w:r>
        <w:drawing>
          <wp:inline xmlns:a="http://schemas.openxmlformats.org/drawingml/2006/main" xmlns:pic="http://schemas.openxmlformats.org/drawingml/2006/picture">
            <wp:extent cx="5760720" cy="1365504"/>
            <wp:docPr id="20" name="Picture 20"/>
            <wp:cNvGraphicFramePr>
              <a:graphicFrameLocks noChangeAspect="1"/>
            </wp:cNvGraphicFramePr>
            <a:graphic>
              <a:graphicData uri="http://schemas.openxmlformats.org/drawingml/2006/picture">
                <pic:pic>
                  <pic:nvPicPr>
                    <pic:cNvPr id="0" name="historial_tabla.png"/>
                    <pic:cNvPicPr/>
                  </pic:nvPicPr>
                  <pic:blipFill>
                    <a:blip r:embed="rId28"/>
                    <a:stretch>
                      <a:fillRect/>
                    </a:stretch>
                  </pic:blipFill>
                  <pic:spPr>
                    <a:xfrm>
                      <a:off x="0" y="0"/>
                      <a:ext cx="5760720" cy="1365504"/>
                    </a:xfrm>
                    <a:prstGeom prst="rect"/>
                  </pic:spPr>
                </pic:pic>
              </a:graphicData>
            </a:graphic>
          </wp:inline>
        </w:drawing>
      </w:r>
    </w:p>
    <w:p>
      <w:pPr>
        <w:jc w:val="center"/>
      </w:pPr>
      <w:r>
        <w:rPr>
          <w:i/>
          <w:color w:val="444455"/>
          <w:sz w:val="18"/>
        </w:rPr>
        <w:t>Tabla de registros de la Pestaña Historial.</w:t>
      </w:r>
    </w:p>
    <w:p/>
    <w:tbl>
      <w:tblPr>
        <w:tblStyle w:val="TableGrid"/>
        <w:tblW w:type="auto" w:w="0"/>
        <w:jc w:val="center"/>
        <w:tblLook w:firstColumn="1" w:firstRow="1" w:lastColumn="0" w:lastRow="0" w:noHBand="0" w:noVBand="1" w:val="04A0"/>
      </w:tblPr>
      <w:tblGrid>
        <w:gridCol w:w="4561"/>
        <w:gridCol w:w="4561"/>
      </w:tblGrid>
      <w:tr>
        <w:tc>
          <w:tcPr>
            <w:tcW w:type="dxa" w:w="2304"/>
            <w:shd w:val="clear" w:color="auto" w:fill="0077CC"/>
          </w:tcPr>
          <w:p>
            <w:pPr>
              <w:jc w:val="center"/>
            </w:pPr>
            <w:r>
              <w:rPr>
                <w:b/>
                <w:color w:val="FFFFFF"/>
                <w:sz w:val="20"/>
              </w:rPr>
              <w:t>Columna</w:t>
            </w:r>
          </w:p>
        </w:tc>
        <w:tc>
          <w:tcPr>
            <w:tcW w:type="dxa" w:w="7056"/>
            <w:shd w:val="clear" w:color="auto" w:fill="0077CC"/>
          </w:tcPr>
          <w:p>
            <w:pPr>
              <w:jc w:val="center"/>
            </w:pPr>
            <w:r>
              <w:rPr>
                <w:b/>
                <w:color w:val="FFFFFF"/>
                <w:sz w:val="20"/>
              </w:rPr>
              <w:t>Qué significa</w:t>
            </w:r>
          </w:p>
        </w:tc>
      </w:tr>
      <w:tr>
        <w:tc>
          <w:tcPr>
            <w:tcW w:type="dxa" w:w="2304"/>
            <w:shd w:val="clear" w:color="auto" w:fill="F0F5FF"/>
          </w:tcPr>
          <w:p>
            <w:pPr>
              <w:jc w:val="center"/>
            </w:pPr>
            <w:r>
              <w:rPr>
                <w:b/>
                <w:sz w:val="20"/>
              </w:rPr>
              <w:t>Fecha/Hora</w:t>
            </w:r>
          </w:p>
        </w:tc>
        <w:tc>
          <w:tcPr>
            <w:tcW w:type="dxa" w:w="7056"/>
            <w:shd w:val="clear" w:color="auto" w:fill="F0F5FF"/>
          </w:tcPr>
          <w:p>
            <w:r>
              <w:rPr>
                <w:sz w:val="20"/>
              </w:rPr>
              <w:t>Cuándo se generó esa señal: la fecha y hora exactas de ese escaneo o análisis concreto.</w:t>
            </w:r>
          </w:p>
        </w:tc>
      </w:tr>
      <w:tr>
        <w:tc>
          <w:tcPr>
            <w:tcW w:type="dxa" w:w="2304"/>
            <w:shd w:val="clear" w:color="auto" w:fill="FFFFFF"/>
          </w:tcPr>
          <w:p>
            <w:pPr>
              <w:jc w:val="center"/>
            </w:pPr>
            <w:r>
              <w:rPr>
                <w:b/>
                <w:sz w:val="20"/>
              </w:rPr>
              <w:t>Símbolo</w:t>
            </w:r>
          </w:p>
        </w:tc>
        <w:tc>
          <w:tcPr>
            <w:tcW w:type="dxa" w:w="7056"/>
            <w:shd w:val="clear" w:color="auto" w:fill="FFFFFF"/>
          </w:tcPr>
          <w:p>
            <w:r>
              <w:rPr>
                <w:sz w:val="20"/>
              </w:rPr>
              <w:t>El ticker analizado.</w:t>
            </w:r>
          </w:p>
        </w:tc>
      </w:tr>
      <w:tr>
        <w:tc>
          <w:tcPr>
            <w:tcW w:type="dxa" w:w="2304"/>
            <w:shd w:val="clear" w:color="auto" w:fill="F0F5FF"/>
          </w:tcPr>
          <w:p>
            <w:pPr>
              <w:jc w:val="center"/>
            </w:pPr>
            <w:r>
              <w:rPr>
                <w:b/>
                <w:sz w:val="20"/>
              </w:rPr>
              <w:t>Señal</w:t>
            </w:r>
          </w:p>
        </w:tc>
        <w:tc>
          <w:tcPr>
            <w:tcW w:type="dxa" w:w="7056"/>
            <w:shd w:val="clear" w:color="auto" w:fill="F0F5FF"/>
          </w:tcPr>
          <w:p>
            <w:r>
              <w:rPr>
                <w:sz w:val="20"/>
              </w:rPr>
              <w:t>COMPRAR/VENDER/débil/NEUTRAL, coloreada igual que en las demás pestañas (verde/rojo/naranja/gris).</w:t>
            </w:r>
          </w:p>
        </w:tc>
      </w:tr>
      <w:tr>
        <w:tc>
          <w:tcPr>
            <w:tcW w:type="dxa" w:w="2304"/>
            <w:shd w:val="clear" w:color="auto" w:fill="FFFFFF"/>
          </w:tcPr>
          <w:p>
            <w:pPr>
              <w:jc w:val="center"/>
            </w:pPr>
            <w:r>
              <w:rPr>
                <w:b/>
                <w:sz w:val="20"/>
              </w:rPr>
              <w:t>Pred. Ret. %</w:t>
            </w:r>
          </w:p>
        </w:tc>
        <w:tc>
          <w:tcPr>
            <w:tcW w:type="dxa" w:w="7056"/>
            <w:shd w:val="clear" w:color="auto" w:fill="FFFFFF"/>
          </w:tcPr>
          <w:p>
            <w:r>
              <w:rPr>
                <w:sz w:val="20"/>
              </w:rPr>
              <w:t>El retorno % que predijo el modelo para el día siguiente, en el momento de ese escaneo.</w:t>
            </w:r>
          </w:p>
        </w:tc>
      </w:tr>
      <w:tr>
        <w:tc>
          <w:tcPr>
            <w:tcW w:type="dxa" w:w="2304"/>
            <w:shd w:val="clear" w:color="auto" w:fill="F0F5FF"/>
          </w:tcPr>
          <w:p>
            <w:pPr>
              <w:jc w:val="center"/>
            </w:pPr>
            <w:r>
              <w:rPr>
                <w:b/>
                <w:sz w:val="20"/>
              </w:rPr>
              <w:t>Dir. Acc. %</w:t>
            </w:r>
          </w:p>
        </w:tc>
        <w:tc>
          <w:tcPr>
            <w:tcW w:type="dxa" w:w="7056"/>
            <w:shd w:val="clear" w:color="auto" w:fill="F0F5FF"/>
          </w:tcPr>
          <w:p>
            <w:r>
              <w:rPr>
                <w:sz w:val="20"/>
              </w:rPr>
              <w:t>Precisión direccional del modelo en ese momento — el mismo dato que 'Confianza' en la Pestaña Análisis, aquí en número exacto en vez de Alta/Media/Baja.</w:t>
            </w:r>
          </w:p>
        </w:tc>
      </w:tr>
      <w:tr>
        <w:tc>
          <w:tcPr>
            <w:tcW w:type="dxa" w:w="2304"/>
            <w:shd w:val="clear" w:color="auto" w:fill="FFFFFF"/>
          </w:tcPr>
          <w:p>
            <w:pPr>
              <w:jc w:val="center"/>
            </w:pPr>
            <w:r>
              <w:rPr>
                <w:b/>
                <w:sz w:val="20"/>
              </w:rPr>
              <w:t>Ask</w:t>
            </w:r>
          </w:p>
        </w:tc>
        <w:tc>
          <w:tcPr>
            <w:tcW w:type="dxa" w:w="7056"/>
            <w:shd w:val="clear" w:color="auto" w:fill="FFFFFF"/>
          </w:tcPr>
          <w:p>
            <w:r>
              <w:rPr>
                <w:sz w:val="20"/>
              </w:rPr>
              <w:t>Precio de venta (cotización) del activo en el momento del escaneo. El registro también guarda el precio 'Bid', aunque esa columna no se muestra en esta tabla.</w:t>
            </w:r>
          </w:p>
        </w:tc>
      </w:tr>
      <w:tr>
        <w:tc>
          <w:tcPr>
            <w:tcW w:type="dxa" w:w="2304"/>
            <w:shd w:val="clear" w:color="auto" w:fill="F0F5FF"/>
          </w:tcPr>
          <w:p>
            <w:pPr>
              <w:jc w:val="center"/>
            </w:pPr>
            <w:r>
              <w:rPr>
                <w:b/>
                <w:sz w:val="20"/>
              </w:rPr>
              <w:t>Sentiment</w:t>
            </w:r>
          </w:p>
        </w:tc>
        <w:tc>
          <w:tcPr>
            <w:tcW w:type="dxa" w:w="7056"/>
            <w:shd w:val="clear" w:color="auto" w:fill="F0F5FF"/>
          </w:tcPr>
          <w:p>
            <w:r>
              <w:rPr>
                <w:sz w:val="20"/>
              </w:rPr>
              <w:t>Sentimiento de las noticias recientes en ese momento, de −1 (muy negativo) a +1 (muy positivo).</w:t>
            </w:r>
          </w:p>
        </w:tc>
      </w:tr>
      <w:tr>
        <w:tc>
          <w:tcPr>
            <w:tcW w:type="dxa" w:w="2304"/>
            <w:shd w:val="clear" w:color="auto" w:fill="FFFFFF"/>
          </w:tcPr>
          <w:p>
            <w:pPr>
              <w:jc w:val="center"/>
            </w:pPr>
            <w:r>
              <w:rPr>
                <w:b/>
                <w:sz w:val="20"/>
              </w:rPr>
              <w:t>P/C Ratio</w:t>
            </w:r>
          </w:p>
        </w:tc>
        <w:tc>
          <w:tcPr>
            <w:tcW w:type="dxa" w:w="7056"/>
            <w:shd w:val="clear" w:color="auto" w:fill="FFFFFF"/>
          </w:tcPr>
          <w:p>
            <w:r>
              <w:rPr>
                <w:sz w:val="20"/>
              </w:rPr>
              <w:t>Ratio Put/Call: interés abierto en opciones 'put' dividido entre 'call'. Por encima de 1 indica más cobertura bajista (más puts que calls); por debajo de 1, más apuesta alcista.</w:t>
            </w:r>
          </w:p>
        </w:tc>
      </w:tr>
      <w:tr>
        <w:tc>
          <w:tcPr>
            <w:tcW w:type="dxa" w:w="2304"/>
            <w:shd w:val="clear" w:color="auto" w:fill="F0F5FF"/>
          </w:tcPr>
          <w:p>
            <w:pPr>
              <w:jc w:val="center"/>
            </w:pPr>
            <w:r>
              <w:rPr>
                <w:b/>
                <w:sz w:val="20"/>
              </w:rPr>
              <w:t>Modelo</w:t>
            </w:r>
          </w:p>
        </w:tc>
        <w:tc>
          <w:tcPr>
            <w:tcW w:type="dxa" w:w="7056"/>
            <w:shd w:val="clear" w:color="auto" w:fill="F0F5FF"/>
          </w:tcPr>
          <w:p>
            <w:r>
              <w:rPr>
                <w:sz w:val="20"/>
              </w:rPr>
              <w:t>Qué modelo de IA estaba activo en Configuración cuando se generó esa señal (p. ej. 'xgb_lgb_ensemble'). Las filas anteriores a que se empezara a registrar este dato aparecen en blanco.</w:t>
            </w:r>
          </w:p>
        </w:tc>
      </w:tr>
      <w:tr>
        <w:tc>
          <w:tcPr>
            <w:tcW w:type="dxa" w:w="2304"/>
            <w:shd w:val="clear" w:color="auto" w:fill="FFFFFF"/>
          </w:tcPr>
          <w:p>
            <w:pPr>
              <w:jc w:val="center"/>
            </w:pPr>
            <w:r>
              <w:rPr>
                <w:b/>
                <w:sz w:val="20"/>
              </w:rPr>
              <w:t>Fuente de datos</w:t>
            </w:r>
          </w:p>
        </w:tc>
        <w:tc>
          <w:tcPr>
            <w:tcW w:type="dxa" w:w="7056"/>
            <w:shd w:val="clear" w:color="auto" w:fill="FFFFFF"/>
          </w:tcPr>
          <w:p>
            <w:r>
              <w:rPr>
                <w:sz w:val="20"/>
              </w:rPr>
              <w:t>De dónde venían los precios históricos usados para entrenar y predecir en ese momento (p. ej. 'yahoo'). Igual que 'Modelo', las filas antiguas aparecen en blanco.</w:t>
            </w:r>
          </w:p>
        </w:tc>
      </w:tr>
    </w:tbl>
    <w:p/>
    <w:tbl>
      <w:tblPr>
        <w:tblStyle w:val="TableGrid"/>
        <w:tblW w:type="auto" w:w="0"/>
        <w:tblLook w:firstColumn="1" w:firstRow="1" w:lastColumn="0" w:lastRow="0" w:noHBand="0" w:noVBand="1" w:val="04A0"/>
      </w:tblPr>
      <w:tblGrid>
        <w:gridCol w:w="9122"/>
      </w:tblGrid>
      <w:tr>
        <w:tc>
          <w:tcPr>
            <w:tcW w:type="dxa" w:w="9122"/>
            <w:shd w:val="clear" w:color="auto" w:fill="E8F0F8"/>
          </w:tcPr>
          <w:p>
            <w:r>
              <w:rPr>
                <w:b/>
                <w:color w:val="0077CC"/>
                <w:sz w:val="22"/>
              </w:rPr>
              <w:t xml:space="preserve">  Para qué sirven 'Modelo' y 'Fuente de datos':</w:t>
            </w:r>
          </w:p>
          <w:p>
            <w:pPr>
              <w:ind w:left="283"/>
            </w:pPr>
            <w:r>
              <w:rPr>
                <w:sz w:val="20"/>
              </w:rPr>
              <w:t>• Si en el futuro cambias de modelo o de fuente de datos en Configuración, estas dos columnas te permiten comparar cómo se comportó cada combinación a lo largo del tiempo, filtrando o revisando el historial por esos valores.</w:t>
            </w:r>
          </w:p>
        </w:tc>
      </w:tr>
    </w:tbl>
    <w:p/>
    <w:p>
      <w:r>
        <w:br w:type="page"/>
      </w:r>
    </w:p>
    <w:p>
      <w:pPr>
        <w:pStyle w:val="Heading1"/>
        <w:spacing w:before="280" w:after="80"/>
      </w:pPr>
      <w:r>
        <w:rPr>
          <w:color w:val="0077CC"/>
        </w:rPr>
        <w:t>7. Pestaña Comparación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