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Open Sans" w:cs="Open Sans" w:eastAsia="Open Sans" w:hAnsi="Open Sans"/>
          <w:color w:val="211f1c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Otázky: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Interpretujte scatter plot/korelační diagram. Vidíte nějakou korelaci?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708.6614173228347" w:firstLine="0"/>
        <w:rPr>
          <w:rFonts w:ascii="Open Sans" w:cs="Open Sans" w:eastAsia="Open Sans" w:hAnsi="Open Sans"/>
          <w:color w:val="0000f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21"/>
          <w:szCs w:val="21"/>
          <w:rtl w:val="0"/>
        </w:rPr>
        <w:t xml:space="preserve">Korelační koeficient je 0,88, míra korelace je tedy vysoká. Ale rozhodně neplatí, že čím více objednávek, tím vyšší zisk. U států se ztrátou dokonce platí, že čím více objednávek, tím vyšší ztráta.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Kdy bylo provedeno nejvíce objednávek (měsíc + rok pro všechny regiony dohromady)?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720" w:firstLine="0"/>
        <w:rPr>
          <w:rFonts w:ascii="Open Sans" w:cs="Open Sans" w:eastAsia="Open Sans" w:hAnsi="Open Sans"/>
          <w:color w:val="0000f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21"/>
          <w:szCs w:val="21"/>
          <w:rtl w:val="0"/>
        </w:rPr>
        <w:t xml:space="preserve">Nejvíce objednávek bylo provedeno v 8/2020.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Kterých 5 států mělo nejvíce objednávek v regionu Central?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Open Sans" w:cs="Open Sans" w:eastAsia="Open Sans" w:hAnsi="Open Sans"/>
          <w:color w:val="0000f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0000ff"/>
          <w:sz w:val="21"/>
          <w:szCs w:val="21"/>
          <w:rtl w:val="0"/>
        </w:rPr>
        <w:t xml:space="preserve">France, Germany, Netherlands, Austria, Belgium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Jaký je celkový počet objednávek pro region North?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Open Sans" w:cs="Open Sans" w:eastAsia="Open Sans" w:hAnsi="Open Sans"/>
          <w:color w:val="0000ff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0000ff"/>
          <w:sz w:val="21"/>
          <w:szCs w:val="21"/>
          <w:rtl w:val="0"/>
        </w:rPr>
        <w:t xml:space="preserve">2141 objednávek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11f1c"/>
          <w:sz w:val="21"/>
          <w:szCs w:val="21"/>
          <w:rtl w:val="0"/>
        </w:rPr>
        <w:t xml:space="preserve">Které státy z regionu South mají zisk (Profit) větší než 50 000?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Spain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11f1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