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Afya UNIMA-AL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0,9710 (IC95% [0,9563; 0,9843]) no nível de documento e Fβ=2 macro span-level de 0,9688 (IC95% [0,9546; 0,9822]), com taxa de vazamento por categoria abaixo de 0,15 e latência p99 inferior a 0,1 ms. O copiloto RAG, sob o framework RAGAS, apresentou recall@5 de 0,8250, Precision@1 de 0,6500, faithfulness de 0,1514 (IC95% [0,09; 0,22]) e taxa de alucinação regulatória de 0,0000 sobre as citações produzidas, com corpus integral indexado de NR-01, NR-17 e LGPD (596 chunks). A faithfulness modesta indica que o componente RAG não ancora efetivamente as respostas nos chunks recuperados, limitação central do estudo. O trabalho inclui ainda benchmark tripartite com dois LLMs open-source de 14 bilhões de parâmetros executados localmente (Qwen 2.5 14B e Phi-4 14B via Ollama em GPU AMD), em que o Qwen supera o gpt-4o-mini no copiloto (Precision@1 = 0,8750 vs. 0,6500)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0.9710 (95% CI [0.9563, 0.9843]) and macro span-level Fβ=2 = 0.9688 (95% CI [0.9546, 0.9822]), with category-wise leakage rate below 0.15 and p99 latency under 0.1 ms. The copilot RAG, under the RAGAS framework, reached recall@5 = 0.8250, Precision@1 = 0.6500, faithfulness = 0.1514 (95% CI [0.09, 0.22]) and regulatory hallucination rate of 0.0000 over produced citations, with the integral indexing of NR-01, NR-17 and LGPD (596 chunks). Modest faithfulness indicates that the RAG component did not effectively ground answers in retrieved chunks. This work also includes a triple-model benchmark against two open-source 14B-parameter LLMs running locally (Qwen 2.5 14B and Phi-4 14B via Ollama on AMD GPU), revealing that Qwen surpasses gpt-4o-mini on the copilot (Precision@1 = 0.8750 vs. 0.6500)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Reranking pós-retrieval e fine-tuning de ancoragem</w:t>
      </w:r>
    </w:p>
    <w:p>
      <w:pPr>
        <w:spacing w:line="240" w:lineRule="auto" w:after="120" w:before="0"/>
        <w:ind w:firstLine="0"/>
        <w:jc w:val="both"/>
      </w:pPr>
      <w:r>
        <w:rPr>
          <w:rFonts w:ascii="Arial" w:hAnsi="Arial"/>
          <w:b w:val="0"/>
          <w:i w:val="0"/>
          <w:sz w:val="24"/>
        </w:rPr>
        <w:t>9.3 Fine-tuning para o Nível 2 da hierarquia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Posteriormente, a Portaria MTE nº 1.419/2024 incluiu de forma explícita os fatores de risco psicossocial entre os perigos a serem identificados, avaliados e controlados no Programa de Gerenciamento de Riscos (PGR). A Portaria MTE nº 765/2025 fixou a vigência fiscalizável dessa obrigação em 26 de maio de 2026, mantendo o período anterior em caráter educativo. Soma-se a esse arcabouço a NR-17 (BRASIL, 2018), que trata dos fatores ergonômicos cognitivos e organizacionais, e a norma internacional ISO 45003 (2021), dedicada exclusivamente a saúde e segurança psicológica no trabalho. Nesse contexto, e considerando que o presente trabalho é entregue pouco depois do início da exigibilidade da obrigação,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apresenta os trabalhos relacionados, distinto dos aspectos teóricos.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a Portaria MTE nº 1.419/2024 (BRASIL, 2024), que incluiu de forma explícita os fatores de risco psicossocial entre os perigos a serem identificados, avaliados e controlados no Programa de Gerenciamento de Riscos (PGR), com vigência fiscalizável a partir de 26 de maio de 2026 fixada pela Portaria MTE nº 765/2025 (BRASIL, 2025).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utiliza um gold standard ampliado com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429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16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0,9640</w:t>
            </w:r>
          </w:p>
        </w:tc>
        <w:tc>
          <w:tcPr>
            <w:tcW w:type="dxa" w:w="3135"/>
          </w:tcPr>
          <w:p>
            <w:pPr>
              <w:jc w:val="left"/>
            </w:pPr>
            <w:r/>
            <w:r>
              <w:rPr>
                <w:rFonts w:ascii="Arial" w:hAnsi="Arial"/>
                <w:sz w:val="20"/>
              </w:rPr>
              <w:t>[0,9459; 0,9804]</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0,9817</w:t>
            </w:r>
          </w:p>
        </w:tc>
        <w:tc>
          <w:tcPr>
            <w:tcW w:type="dxa" w:w="3135"/>
          </w:tcPr>
          <w:p>
            <w:pPr>
              <w:jc w:val="left"/>
            </w:pPr>
            <w:r/>
            <w:r>
              <w:rPr>
                <w:rFonts w:ascii="Arial" w:hAnsi="Arial"/>
                <w:sz w:val="20"/>
              </w:rPr>
              <w:t>[0,9722; 0,9901]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0,9710</w:t>
            </w:r>
          </w:p>
        </w:tc>
        <w:tc>
          <w:tcPr>
            <w:tcW w:type="dxa" w:w="3135"/>
          </w:tcPr>
          <w:p>
            <w:pPr>
              <w:jc w:val="left"/>
            </w:pPr>
            <w:r/>
            <w:r>
              <w:rPr>
                <w:rFonts w:ascii="Arial" w:hAnsi="Arial"/>
                <w:sz w:val="20"/>
              </w:rPr>
              <w:t>[0,9563; 0,9843]</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0,020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0,040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resultado decorre da lista de tokens institucionais e do mascaramento ordenado CPF, CNPJ, telefone implementados no validador determinístico (Seção 5.3.1). O recall de 0,9640 mostra que 16 dos 445 documentos positivos tiveram pelo menos uma categoria de PII não detectada, reflexo das fragilidades residuais nas categorias telefone (8 casos com formatos internacionais menos comuns) e matrícula (4 casos com gatilhos textuais raros). A alternativa intl_split do regex de telefone cobre o padrão +55DDD 9 NNNN-NNNN e os gatilhos pós-numéricos do regex de matrícula (sistema de ponto, folha de pagamento, ADP, Senior, SAP, AD) garantem recall de 0,9200 nessa categoria. A métrica primária Fβ=2 = 0,9710 (IC95% [0,9563; 0,9843])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47</w:t>
            </w:r>
          </w:p>
        </w:tc>
        <w:tc>
          <w:tcPr>
            <w:tcW w:type="dxa" w:w="1045"/>
          </w:tcPr>
          <w:p>
            <w:pPr>
              <w:jc w:val="left"/>
            </w:pPr>
            <w:r/>
            <w:r>
              <w:rPr>
                <w:rFonts w:ascii="Arial" w:hAnsi="Arial"/>
                <w:sz w:val="20"/>
              </w:rPr>
              <w:t>0</w:t>
            </w:r>
          </w:p>
        </w:tc>
        <w:tc>
          <w:tcPr>
            <w:tcW w:type="dxa" w:w="1045"/>
          </w:tcPr>
          <w:p>
            <w:pPr>
              <w:jc w:val="left"/>
            </w:pPr>
            <w:r/>
            <w:r>
              <w:rPr>
                <w:rFonts w:ascii="Arial" w:hAnsi="Arial"/>
                <w:sz w:val="20"/>
              </w:rPr>
              <w:t>8</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0,8545</w:t>
            </w:r>
          </w:p>
        </w:tc>
        <w:tc>
          <w:tcPr>
            <w:tcW w:type="dxa" w:w="1045"/>
          </w:tcPr>
          <w:p>
            <w:pPr>
              <w:jc w:val="left"/>
            </w:pPr>
            <w:r/>
            <w:r>
              <w:rPr>
                <w:rFonts w:ascii="Arial" w:hAnsi="Arial"/>
                <w:sz w:val="20"/>
              </w:rPr>
              <w:t>0,9216</w:t>
            </w:r>
          </w:p>
        </w:tc>
        <w:tc>
          <w:tcPr>
            <w:tcW w:type="dxa" w:w="1045"/>
          </w:tcPr>
          <w:p>
            <w:pPr>
              <w:jc w:val="left"/>
            </w:pPr>
            <w:r/>
            <w:r>
              <w:rPr>
                <w:rFonts w:ascii="Arial" w:hAnsi="Arial"/>
                <w:sz w:val="20"/>
              </w:rPr>
              <w:t>0,8801</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46</w:t>
            </w:r>
          </w:p>
        </w:tc>
        <w:tc>
          <w:tcPr>
            <w:tcW w:type="dxa" w:w="1045"/>
          </w:tcPr>
          <w:p>
            <w:pPr>
              <w:jc w:val="left"/>
            </w:pPr>
            <w:r/>
            <w:r>
              <w:rPr>
                <w:rFonts w:ascii="Arial" w:hAnsi="Arial"/>
                <w:sz w:val="20"/>
              </w:rPr>
              <w:t>0</w:t>
            </w:r>
          </w:p>
        </w:tc>
        <w:tc>
          <w:tcPr>
            <w:tcW w:type="dxa" w:w="1045"/>
          </w:tcPr>
          <w:p>
            <w:pPr>
              <w:jc w:val="left"/>
            </w:pPr>
            <w:r/>
            <w:r>
              <w:rPr>
                <w:rFonts w:ascii="Arial" w:hAnsi="Arial"/>
                <w:sz w:val="20"/>
              </w:rPr>
              <w:t>4</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0,9474</w:t>
            </w:r>
          </w:p>
        </w:tc>
        <w:tc>
          <w:tcPr>
            <w:tcW w:type="dxa" w:w="1045"/>
          </w:tcPr>
          <w:p>
            <w:pPr>
              <w:jc w:val="left"/>
            </w:pPr>
            <w:r/>
            <w:r>
              <w:rPr>
                <w:rFonts w:ascii="Arial" w:hAnsi="Arial"/>
                <w:sz w:val="20"/>
              </w:rPr>
              <w:t>0,9700</w:t>
            </w:r>
          </w:p>
        </w:tc>
        <w:tc>
          <w:tcPr>
            <w:tcW w:type="dxa" w:w="1045"/>
          </w:tcPr>
          <w:p>
            <w:pPr>
              <w:jc w:val="left"/>
            </w:pPr>
            <w:r/>
            <w:r>
              <w:rPr>
                <w:rFonts w:ascii="Arial" w:hAnsi="Arial"/>
                <w:sz w:val="20"/>
              </w:rPr>
              <w:t>0,9688</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[0,955; 0,982]</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8</w:t>
            </w:r>
          </w:p>
        </w:tc>
        <w:tc>
          <w:tcPr>
            <w:tcW w:type="dxa" w:w="2351"/>
          </w:tcPr>
          <w:p>
            <w:pPr>
              <w:jc w:val="left"/>
            </w:pPr>
            <w:r/>
            <w:r>
              <w:rPr>
                <w:rFonts w:ascii="Arial" w:hAnsi="Arial"/>
                <w:sz w:val="20"/>
              </w:rPr>
              <w:t>0,1455</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4</w:t>
            </w:r>
          </w:p>
        </w:tc>
        <w:tc>
          <w:tcPr>
            <w:tcW w:type="dxa" w:w="2351"/>
          </w:tcPr>
          <w:p>
            <w:pPr>
              <w:jc w:val="left"/>
            </w:pPr>
            <w:r/>
            <w:r>
              <w:rPr>
                <w:rFonts w:ascii="Arial" w:hAnsi="Arial"/>
                <w:sz w:val="20"/>
              </w:rPr>
              <w:t>0,0800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8 falsos negativos span-level (recall 0,8545): correspondem a telefones internacionais com formatação ambígua e a padrões de DDI raros em PT-BR ocupacional. (ii) Categoria matrícula com 4 falsos negativos (recall 0,9200): correspondem a templates em que o número de matrícula aparece sem qualquer gatilho textual prévio ou pós-fixado dentro do conjunto reconhecido. (iii) Categoria nome composto com 6 falsos negativos (recall 0,9200): predominantemente nomes próprios escritos sem acentos. As categorias e-mail, CPF, CNPJ, cargo identificador e título + nome atingiram F1 = 1,0000, sem qualquer escape detectável no gold. As mitigações propostas para os casos restantes (camada secundária de NER fina via BERTimbau ou Llama-3 acionada somente em caso de ausência de match regex)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utiliza o aparato metodológico justificado na Seção 5.6: gold de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O re-prompting iterativo está habilitado, conforme a configuração de produção descrita na Seção 5.3.2.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o prompt do narrador combinado a re-prompting iterativo (até duas iterações) e regra explícita de distribuição mínima de palavras por seção. Os 37 textos fora da faixa correspondem majoritariamente a payloads de pequeno porte com poucos riscos elevados, em que a narrativa naturalmente comprime a contagem; isso motiva trabalho futuro com instrução condicional ao porte da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indicando que mesmo cenários saudáveis sem dimensão Amarela ou Vermelha geram a seção "riscos intermediários" com a indicação explícita de ausência de risco no nível correspondente. A taxa de ausência de PII na saída atinge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é conduzida sobre o gold action_plan_gold_v3.py, com 80 cenários distribuídos uniformemente nos quatro níveis da hierarquia NR-01 (vinte por nível). A descrição de cada cenário é cega quanto à natureza do controle apropriado, eliminando vazamento de rótulo, e a rubrica está pronta para aplicação por dois revisores independentes.</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0,7875</w:t>
            </w:r>
          </w:p>
        </w:tc>
        <w:tc>
          <w:tcPr>
            <w:tcW w:type="dxa" w:w="3135"/>
          </w:tcPr>
          <w:p>
            <w:pPr>
              <w:jc w:val="left"/>
            </w:pPr>
            <w:r/>
            <w:r>
              <w:rPr>
                <w:rFonts w:ascii="Arial" w:hAnsi="Arial"/>
                <w:sz w:val="20"/>
              </w:rPr>
              <w:t>[0,7000; 0,8750]</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0,7828</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0,7993</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0,7875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0,9250</w:t>
            </w:r>
          </w:p>
        </w:tc>
        <w:tc>
          <w:tcPr>
            <w:tcW w:type="dxa" w:w="3135"/>
          </w:tcPr>
          <w:p>
            <w:pPr>
              <w:jc w:val="left"/>
            </w:pPr>
            <w:r/>
            <w:r>
              <w:rPr>
                <w:rFonts w:ascii="Arial" w:hAnsi="Arial"/>
                <w:sz w:val="20"/>
              </w:rPr>
              <w:t>74/80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0,0927</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7,1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12,61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15,08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0,9290</w:t>
            </w:r>
          </w:p>
        </w:tc>
        <w:tc>
          <w:tcPr>
            <w:tcW w:type="dxa" w:w="1567"/>
          </w:tcPr>
          <w:p>
            <w:pPr>
              <w:jc w:val="left"/>
            </w:pPr>
            <w:r/>
            <w:r>
              <w:rPr>
                <w:rFonts w:ascii="Arial" w:hAnsi="Arial"/>
                <w:sz w:val="20"/>
              </w:rPr>
              <w:t>0,6500</w:t>
            </w:r>
          </w:p>
        </w:tc>
        <w:tc>
          <w:tcPr>
            <w:tcW w:type="dxa" w:w="1567"/>
          </w:tcPr>
          <w:p>
            <w:pPr>
              <w:jc w:val="left"/>
            </w:pPr>
            <w:r/>
            <w:r>
              <w:rPr>
                <w:rFonts w:ascii="Arial" w:hAnsi="Arial"/>
                <w:sz w:val="20"/>
              </w:rPr>
              <w:t>0,7650</w:t>
            </w:r>
          </w:p>
        </w:tc>
        <w:tc>
          <w:tcPr>
            <w:tcW w:type="dxa" w:w="1567"/>
          </w:tcPr>
          <w:p>
            <w:pPr>
              <w:jc w:val="left"/>
            </w:pPr>
            <w:r/>
            <w:r>
              <w:rPr>
                <w:rFonts w:ascii="Arial" w:hAnsi="Arial"/>
                <w:sz w:val="20"/>
              </w:rPr>
              <w:t>20</w:t>
            </w:r>
          </w:p>
        </w:tc>
        <w:tc>
          <w:tcPr>
            <w:tcW w:type="dxa" w:w="1567"/>
          </w:tcPr>
          <w:p>
            <w:pPr>
              <w:jc w:val="left"/>
            </w:pPr>
            <w:r/>
            <w:r>
              <w:rPr>
                <w:rFonts w:ascii="Arial" w:hAnsi="Arial"/>
                <w:sz w:val="20"/>
              </w:rPr>
              <w:t>Precisão alta, recall moderado</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0,6670</w:t>
            </w:r>
          </w:p>
        </w:tc>
        <w:tc>
          <w:tcPr>
            <w:tcW w:type="dxa" w:w="1567"/>
          </w:tcPr>
          <w:p>
            <w:pPr>
              <w:jc w:val="left"/>
            </w:pPr>
            <w:r/>
            <w:r>
              <w:rPr>
                <w:rFonts w:ascii="Arial" w:hAnsi="Arial"/>
                <w:sz w:val="20"/>
              </w:rPr>
              <w:t>0,6000</w:t>
            </w:r>
          </w:p>
        </w:tc>
        <w:tc>
          <w:tcPr>
            <w:tcW w:type="dxa" w:w="1567"/>
          </w:tcPr>
          <w:p>
            <w:pPr>
              <w:jc w:val="left"/>
            </w:pPr>
            <w:r/>
            <w:r>
              <w:rPr>
                <w:rFonts w:ascii="Arial" w:hAnsi="Arial"/>
                <w:sz w:val="20"/>
              </w:rPr>
              <w:t>0,6320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recuperado com exemplos few-shot contrastando Nível 1 versus Nível 2</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0,6920</w:t>
            </w:r>
          </w:p>
        </w:tc>
        <w:tc>
          <w:tcPr>
            <w:tcW w:type="dxa" w:w="1567"/>
          </w:tcPr>
          <w:p>
            <w:pPr>
              <w:jc w:val="left"/>
            </w:pPr>
            <w:r/>
            <w:r>
              <w:rPr>
                <w:rFonts w:ascii="Arial" w:hAnsi="Arial"/>
                <w:sz w:val="20"/>
              </w:rPr>
              <w:t>0,9000</w:t>
            </w:r>
          </w:p>
        </w:tc>
        <w:tc>
          <w:tcPr>
            <w:tcW w:type="dxa" w:w="1567"/>
          </w:tcPr>
          <w:p>
            <w:pPr>
              <w:jc w:val="left"/>
            </w:pPr>
            <w:r/>
            <w:r>
              <w:rPr>
                <w:rFonts w:ascii="Arial" w:hAnsi="Arial"/>
                <w:sz w:val="20"/>
              </w:rPr>
              <w:t>0,7830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precisão moderada</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0,9090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0,9520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quase perfeito</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equilibrada entre os quatro níveis. O agente acerta vinte dos vinte cenários de Nível 4 (Controle Individual), treze dos vinte de Nível 1 (Eliminação), doze dos vinte de Nível 2 (Substituição) e dezoito dos vinte de Nível 3 (Controle Organizacional). A árvore de decisão de quatro perguntas, as definições essenciais por nível e os seis exemplos few-shot do prompt (Seção 5.3.3), incluindo três casos contrastando explicitamente Nível 1 versus Nível 2 e Nível 2 versus Nível 3, sustentam recall de 0,6000 no Nível 2, valor consideravelmente mais alto do que o patamar de 0,3500 característico de prompts sem contraste explícito entre os níveis adjacentes.</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0,9250, com 74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7,1 segundos cresce para 12,6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utiliza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 corpus integral)</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0,6500</w:t>
            </w:r>
          </w:p>
        </w:tc>
        <w:tc>
          <w:tcPr>
            <w:tcW w:type="dxa" w:w="3135"/>
          </w:tcPr>
          <w:p>
            <w:pPr>
              <w:jc w:val="left"/>
            </w:pPr>
            <w:r/>
            <w:r>
              <w:rPr>
                <w:rFonts w:ascii="Arial" w:hAnsi="Arial"/>
                <w:sz w:val="20"/>
              </w:rPr>
              <w:t>[0,5000; 0,8000]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0,1650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0,6500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0,8250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0,8250</w:t>
            </w:r>
          </w:p>
        </w:tc>
        <w:tc>
          <w:tcPr>
            <w:tcW w:type="dxa" w:w="3135"/>
          </w:tcPr>
          <w:p>
            <w:pPr>
              <w:jc w:val="left"/>
            </w:pPr>
            <w:r/>
            <w:r>
              <w:rPr>
                <w:rFonts w:ascii="Arial" w:hAnsi="Arial"/>
                <w:sz w:val="20"/>
              </w:rPr>
              <w:t>[0,7000; 0,9250]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0,7271</w:t>
            </w:r>
          </w:p>
        </w:tc>
        <w:tc>
          <w:tcPr>
            <w:tcW w:type="dxa" w:w="3135"/>
          </w:tcPr>
          <w:p>
            <w:pPr>
              <w:jc w:val="left"/>
            </w:pPr>
            <w:r/>
            <w:r>
              <w:rPr>
                <w:rFonts w:ascii="Arial" w:hAnsi="Arial"/>
                <w:sz w:val="20"/>
              </w:rPr>
              <w:t>[0,6125; 0,8500]</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0,1514</w:t>
            </w:r>
          </w:p>
        </w:tc>
        <w:tc>
          <w:tcPr>
            <w:tcW w:type="dxa" w:w="3135"/>
          </w:tcPr>
          <w:p>
            <w:pPr>
              <w:jc w:val="left"/>
            </w:pPr>
            <w:r/>
            <w:r>
              <w:rPr>
                <w:rFonts w:ascii="Arial" w:hAnsi="Arial"/>
                <w:sz w:val="20"/>
              </w:rPr>
              <w:t>[0,0915; 0,2219]</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0,6116</w:t>
            </w:r>
          </w:p>
        </w:tc>
        <w:tc>
          <w:tcPr>
            <w:tcW w:type="dxa" w:w="3135"/>
          </w:tcPr>
          <w:p>
            <w:pPr>
              <w:jc w:val="left"/>
            </w:pPr>
            <w:r/>
            <w:r>
              <w:rPr>
                <w:rFonts w:ascii="Arial" w:hAnsi="Arial"/>
                <w:sz w:val="20"/>
              </w:rPr>
              <w:t>[0,5547; 0,6706]</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0,5508</w:t>
            </w:r>
          </w:p>
        </w:tc>
        <w:tc>
          <w:tcPr>
            <w:tcW w:type="dxa" w:w="3135"/>
          </w:tcPr>
          <w:p>
            <w:pPr>
              <w:jc w:val="left"/>
            </w:pPr>
            <w:r/>
            <w:r>
              <w:rPr>
                <w:rFonts w:ascii="Arial" w:hAnsi="Arial"/>
                <w:sz w:val="20"/>
              </w:rPr>
              <w:t>[0,4242; 0,6925]</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0/19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6,12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10,42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Corpus indexado: 596 chunks de NR-01, NR-17, COPSOQ, ISO 45003, LGPD e política de k-anonymity.</w:t>
      </w:r>
    </w:p>
    <w:p>
      <w:pPr>
        <w:spacing w:line="360" w:lineRule="auto" w:after="120" w:before="0"/>
        <w:ind w:firstLine="709"/>
        <w:jc w:val="both"/>
      </w:pPr>
      <w:r>
        <w:rPr>
          <w:rFonts w:ascii="Arial" w:hAnsi="Arial"/>
          <w:b w:val="0"/>
          <w:i w:val="0"/>
          <w:sz w:val="24"/>
        </w:rPr>
        <w:t>A recuperação atinge Precision@1 = 0,6500 (IC95% [0,500; 0,800]) e Recall@5 = 0,8250 (IC95% [0,700; 0,925]): em 82,5% das 40 perguntas, o documento-fonte correto está entre os cinco primeiros resultados retornados; em 65% delas ele já é o primeiro. O MRR de 0,7271 indica que a fonte correta aparece em torno da posição ranqueada 1,4, em média. A indexação contempla os textos integrais de NR-01, NR-17 e LGPD (somando 574 chunks de 600 caracteres com overlap de 120) e excertos curados de COPSOQ-II, ISO 45003 e da política de k-anonymity, totalizando 596 chunks indexados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0,1514 (IC95% [0,0915; 0,2219]): apenas 15% das sentenças geradas pelo agente possuem suporte semântico direto nos chunks recuperados (cosseno entre embedding da sentença e do melhor chunk maior ou igual a 0,75). O valor está bem abaixo dos patamares praticados pela literatura RAG (Es et al., 2024, reportam faithfulness 0,75 a 0,85 para QA assistido em domínio biomédico). A answer relevancy de 0,6116 mostra que as respostas, ainda que pouco ancoradas, endereçam corretamente o tópico da pergunta. A context relevancy de 0,5508 indica que aproximadamente 55% dos chunks recuperados têm cosseno com a pergunta maior ou igual a 0,55, valor compatível com o tamanho do corpus.</w:t>
      </w:r>
    </w:p>
    <w:p>
      <w:pPr>
        <w:spacing w:line="360" w:lineRule="auto" w:after="120" w:before="0"/>
        <w:ind w:firstLine="709"/>
        <w:jc w:val="both"/>
      </w:pPr>
      <w:r>
        <w:rPr>
          <w:rFonts w:ascii="Arial" w:hAnsi="Arial"/>
          <w:b w:val="0"/>
          <w:i w:val="0"/>
          <w:sz w:val="24"/>
        </w:rPr>
        <w:t>A taxa de alucinação regulatória de 0,0000 sobre dezenove citações extraídas das respostas é o sinal operacional mais relevante do agente: nenhuma referência normativa produzida nesta avaliação aponta para item inexistente. O resultado decorre da combinação entre o prompt com regra de ouro de abstenção, a base de validação regulatória com lookup hierárquico (que aceita subitens como prefixos válidos de itens curados) e o corpus integral indexado, que reduz a tentação de produção paramétrica de itens. Faithfulness baixa ainda motiva trabalhos futuros descritos no Capítulo 9: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combina cinco elementos metodológicos: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0,1498 ± 0,0069</w:t>
            </w:r>
          </w:p>
        </w:tc>
        <w:tc>
          <w:tcPr>
            <w:tcW w:type="dxa" w:w="1567"/>
          </w:tcPr>
          <w:p>
            <w:pPr>
              <w:jc w:val="left"/>
            </w:pPr>
            <w:r/>
            <w:r>
              <w:rPr>
                <w:rFonts w:ascii="Arial" w:hAnsi="Arial"/>
                <w:sz w:val="20"/>
              </w:rPr>
              <w:t>0,3599 ± 0,0155</w:t>
            </w:r>
          </w:p>
        </w:tc>
        <w:tc>
          <w:tcPr>
            <w:tcW w:type="dxa" w:w="1567"/>
          </w:tcPr>
          <w:p>
            <w:pPr>
              <w:jc w:val="left"/>
            </w:pPr>
            <w:r/>
            <w:r>
              <w:rPr>
                <w:rFonts w:ascii="Arial" w:hAnsi="Arial"/>
                <w:sz w:val="20"/>
              </w:rPr>
              <w:t>0,4724 ± 0,1057</w:t>
            </w:r>
          </w:p>
        </w:tc>
        <w:tc>
          <w:tcPr>
            <w:tcW w:type="dxa" w:w="1567"/>
          </w:tcPr>
          <w:p>
            <w:pPr>
              <w:jc w:val="left"/>
            </w:pPr>
            <w:r/>
            <w:r>
              <w:rPr>
                <w:rFonts w:ascii="Arial" w:hAnsi="Arial"/>
                <w:sz w:val="20"/>
              </w:rPr>
              <w:t>0,3649 ± /</w:t>
            </w:r>
          </w:p>
        </w:tc>
        <w:tc>
          <w:tcPr>
            <w:tcW w:type="dxa" w:w="1567"/>
          </w:tcPr>
          <w:p>
            <w:pPr>
              <w:jc w:val="left"/>
            </w:pPr>
            <w:r/>
            <w:r>
              <w:rPr>
                <w:rFonts w:ascii="Arial" w:hAnsi="Arial"/>
                <w:sz w:val="20"/>
              </w:rPr>
              <w:t>0,3662 ± /</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0,1133</w:t>
            </w:r>
          </w:p>
        </w:tc>
        <w:tc>
          <w:tcPr>
            <w:tcW w:type="dxa" w:w="1567"/>
          </w:tcPr>
          <w:p>
            <w:pPr>
              <w:jc w:val="left"/>
            </w:pPr>
            <w:r/>
            <w:r>
              <w:rPr>
                <w:rFonts w:ascii="Arial" w:hAnsi="Arial"/>
                <w:sz w:val="20"/>
              </w:rPr>
              <w:t>0,4139</w:t>
            </w:r>
          </w:p>
        </w:tc>
        <w:tc>
          <w:tcPr>
            <w:tcW w:type="dxa" w:w="1567"/>
          </w:tcPr>
          <w:p>
            <w:pPr>
              <w:jc w:val="left"/>
            </w:pPr>
            <w:r/>
            <w:r>
              <w:rPr>
                <w:rFonts w:ascii="Arial" w:hAnsi="Arial"/>
                <w:sz w:val="20"/>
              </w:rPr>
              <w:t>0,3552</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padrão duplo. Em concordância categorial (ARI), o LLM atinge 0,1498 (desvio-padrão 0,0069 sobre cinco seeds, temperatura zero), abaixo do k-means (0,3681) que opera sobre os mesmos embeddings text-embedding-3-small e do LDA (0,1625), mas acima do BERTopic (0,1133). Em coerência tópica c_v (métrica primária de topic modeling), o LLM lidera com 0,4724 (desvio-padrão 0,1057) contra 0,3517 do k-means, 0,3552 do BERTopic e 0,3460 do LDA. Essa dissociação entre concordância categorial e coerência tópica é coerente com o achado de Röder, Both e Hinneburg (2015) de que c_v alto não implica alta concordância: o LLM produz clusters semanticamente coesos (palavras-chave fortemente correlacionadas no co-occurrence-graph) mas com fronteiras temáticas que diferem do gold rotulado, sobretudo em "Carreira" (frequentemente fundido com "Reconhecimento") e "Outros".</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descrição semântica do tema na mesma chamada) e pela liderança em coerência tópica c_v, ainda que com perda em ARI frente ao k-means. O Capítulo 9 propõe três caminhos para reduzir essa perda: (i) ensemble LLM+k-means com voto majoritário, combinando a coerência semântica do LLM com a fronteira categorial do k-means; (ii) gold ampliado para 500 respostas e definição operacional mais clara dos temas Carreira e Outros; (iii) prompt menos prescritivo que permita o LLM redefinir suas fronteiras temáticas dentro de um limite máximo de clusters.</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0,1498 (cinco seeds, temperatura zero) expressa concordância modesta acima do acaso; somado ao colapso parcial dos temas Carreira e Outros, configura cenário de concordância baixa com colapso parcial, em consonância com a literatura sobre dificuldade de fronteira semântica em respostas abertas curtas (Jiang, Liu e Fisher, 2026). O LLM lidera, contudo, na coerência tópica c_v (0,4724 contra 0,3517 do k-means), métrica primária de topic modeling, evidenciando que os clusters gerados são semanticamente coesos mesmo quando a fronteira categorial diverge do gold.</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7,1 s</w:t>
            </w:r>
          </w:p>
        </w:tc>
        <w:tc>
          <w:tcPr>
            <w:tcW w:type="dxa" w:w="1881"/>
          </w:tcPr>
          <w:p>
            <w:pPr>
              <w:jc w:val="left"/>
            </w:pPr>
            <w:r/>
            <w:r>
              <w:rPr>
                <w:rFonts w:ascii="Arial" w:hAnsi="Arial"/>
                <w:sz w:val="20"/>
              </w:rPr>
              <w:t>12,6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6,1 s</w:t>
            </w:r>
          </w:p>
        </w:tc>
        <w:tc>
          <w:tcPr>
            <w:tcW w:type="dxa" w:w="1881"/>
          </w:tcPr>
          <w:p>
            <w:pPr>
              <w:jc w:val="left"/>
            </w:pPr>
            <w:r/>
            <w:r>
              <w:rPr>
                <w:rFonts w:ascii="Arial" w:hAnsi="Arial"/>
                <w:sz w:val="20"/>
              </w:rPr>
              <w:t>8,8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 Esses tempos correspondem ao cenário de demonstração agregada e dependem do tamanho do payload, da configuração de re-prompting e de cache de respostas equivalentes. Diferem, portanto, dos tempos por inferência reportados nas Tabelas 6, 7 e 10, que vêm de 100 payloads de avaliação com re-prompting ativo e tamanhos variáveis.</w:t>
      </w:r>
    </w:p>
    <w:p>
      <w:pPr>
        <w:spacing w:line="240" w:lineRule="auto" w:after="60" w:before="0"/>
        <w:ind w:firstLine="0"/>
        <w:jc w:val="left"/>
      </w:pPr>
      <w:r>
        <w:rPr>
          <w:rFonts w:ascii="Arial" w:hAnsi="Arial"/>
          <w:sz w:val="20"/>
        </w:rPr>
        <w:t>Tabela 11 - Métricas operacionais do site (cenário demo)</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 (payload demo, sem re-prompting)</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 (cenário demo agregado)</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 Latências menores que as Tabelas 6 e 10 porque o cenário demo usa payload menor e re-prompting desativado.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0,9817 (IC95% [0,9722; 0,9901]) e Fβ=2 doc-level de 0,9710 (IC95% [0,9563; 0,9843])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0,9817 / 0,9710</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+0,0547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residual de 0,1455 para telefone e 0,0800 para matrícula e nome composto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é de 0,6300 com o re-prompting iterativo ativado, evidenciando que a estratégia de re-prompting é elemento operacional obrigatório, não opcional, para alcançar a faixa de tamanho regulatório.</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O gold construído sem vazamento de rótulo (action_plan_gold_v3.py, 80 cenários cegos) e o prompt com árvore de decisão de quatro perguntas, definições essenciais por nível e seis exemplos few-shot resolvidos (três contrastando explicitamente Nível 1 versus Nível 2 e Nível 2 versus Nível 3) sustentam acurácia de 0,7875 (IC95% [0,7000; 0,8750]) e macro F1 de 0,7828. A matriz de confusão é equilibrada entre os quatro níveis: Nível 4 (Controle Individual) F1 = 0,952, Nível 3 (Controle Organizacional) F1 = 0,783, Nível 1 (Eliminação) F1 = 0,765, e Nível 2 (Substituição) F1 = 0,632. O reforço contrastivo do prompt elevou o recall do Nível 2 a 0,600 (patamar prévio com prompt sem contraste explícito ficava em 0,350), evidenciando que a distinção fina entre substituir um processo perigoso e introduzir um controle organizacional sobre ele responde positivamente a engenharia de prompt orientada ao recorte, sem necessidade de fine-tuning. Os trabalhos futuros (Seção 9.3) propõem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0,7875, com os quatro níveis apresentando F1 entre 0,632 e 0,952. Os dois resultados são complementares: o pipeline de geração preserva integridade estrutural e ancoragem regulatória, enquanto a classificação exige raciocínio normativo profundo sobre a natureza do risco. O conjunto demonstra que engenharia de prompt cuidadosa, combinada a um gold cego e bem rotulado, é suficiente para alcançar acurácia operacional próxima do alvo regulatório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integral indexado (596 chunks de 600 caracteres cobrindo NR-01, NR-17 e LGPD nos textos completos, mais excertos curados de COPSOQ, ISO 45003 e política de k-anonymity) atinge Precision@1 = 0,6500 (IC95% [0,500; 0,800]), Recall@5 = 0,8250 (IC95% [0,700; 0,925]) e MRR = 0,7271 (IC95% [0,6125; 0,8500]). O limiar de 0,40 é calibrado empiricamente para o modelo text-embedding-3-small em domínio normativo PT-BR, em que perguntas naturais raramente atingem cosseno superior a 0,75 com chunks técnicos.</w:t>
      </w:r>
    </w:p>
    <w:p>
      <w:pPr>
        <w:spacing w:line="360" w:lineRule="auto" w:after="120" w:before="0"/>
        <w:ind w:firstLine="709"/>
        <w:jc w:val="both"/>
      </w:pPr>
      <w:r>
        <w:rPr>
          <w:rFonts w:ascii="Arial" w:hAnsi="Arial"/>
          <w:b w:val="0"/>
          <w:i w:val="0"/>
          <w:sz w:val="24"/>
        </w:rPr>
        <w:t>O achado mais relevante da avaliação do copiloto é a aplicação do framework RAGAS (Es et al., 2024), que separa recuperação e geração. A faithfulness de 0,1514 (IC95% [0,0915; 0,2219]) revela que apenas 15% das sentenças geradas têm suporte semântico direto nos chunks recuperados (cosseno entre embedding da sentença e do melhor chunk acima de 0,75). Combinada com a context relevancy de 0,5508,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0,6116 confirma que as respostas, mesmo sem ancoragem, endereçam o tópico da pergunta. Em contraste, a taxa de alucinação regulatória de 0,0000 sobre dezenove citações é o sinal operacional mais positivo do agente: nenhuma referência normativa produzida aponta para item inexistente. O resultado decorre do prompt com regra de ouro de abstenção, da indexação dos textos integrais de NR-01, NR-17 e LGPD (596 chunks indexados versus excertos anteriormente) e do lookup hierárquico no regulatory_lookup.py, que aceita subitens detalhados como prefixos válidos de itens da base curada. A faithfulness baixa continua motivando trabalhos futuros na Seção 9.2 (reranking pós-retrieval via cross-encoder e fine-tuning de instrução para ancoragem).</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padrão duplo. Em concordância categorial (ARI), o LLM atinge 0,1498 (desvio-padrão 0,0069 sobre cinco seeds), abaixo do k-means (0,3681) e do LDA (0,1625), mas acima do BERTopic (0,1133). Em coerência tópica c_v, métrica primária de topic modeling, o LLM lidera com 0,4724 (desvio-padrão 0,1057), contra 0,3517 do k-means, 0,3552 do BERTopic e 0,3460 do LDA. LDA é prejudicado pela natureza bag-of-words que ignora sinônimos em respostas curtas; BERTopic é prejudicado pelo tamanho amostral pequeno (n = 150 abaixo do regime favorável a UMAP+HDBSCAN com hiperparâmetros padrão). A dissociação ARI baixo / c_v alto no LLM é coerente com a observação de Röder, Both e Hinneburg (2015): clusters semanticamente coesos podem não coincidir com a categorização do gold.</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e descrição semântica do tema na mesma chamada) e pela liderança em coerência tópica c_v, com perda apenas em ARI frente ao k-means.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n=100 para narrador,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residuais em fronteiras de regex (alguns formatos internacionais de telefone, nomes próprios sem acento e matrículas sem qualquer gatilho textual) permanecem;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0,7875</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0,7828</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7,1</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0,6500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0,7271</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0,1514</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0,0000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0,1498</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c_v (5 seeds)</w:t>
            </w:r>
          </w:p>
        </w:tc>
        <w:tc>
          <w:tcPr>
            <w:tcW w:type="dxa" w:w="2351"/>
          </w:tcPr>
          <w:p>
            <w:pPr>
              <w:jc w:val="left"/>
            </w:pPr>
            <w:r/>
            <w:r>
              <w:rPr>
                <w:rFonts w:ascii="Arial" w:hAnsi="Arial"/>
                <w:sz w:val="20"/>
              </w:rPr>
              <w:t>0,4724</w:t>
            </w:r>
          </w:p>
        </w:tc>
        <w:tc>
          <w:tcPr>
            <w:tcW w:type="dxa" w:w="2351"/>
          </w:tcPr>
          <w:p>
            <w:pPr>
              <w:jc w:val="left"/>
            </w:pPr>
            <w:r/>
            <w:r>
              <w:rPr>
                <w:rFonts w:ascii="Arial" w:hAnsi="Arial"/>
                <w:sz w:val="20"/>
              </w:rPr>
              <w:t>0,3565</w:t>
            </w:r>
          </w:p>
        </w:tc>
        <w:tc>
          <w:tcPr>
            <w:tcW w:type="dxa" w:w="2351"/>
          </w:tcPr>
          <w:p>
            <w:pPr>
              <w:jc w:val="left"/>
            </w:pPr>
            <w:r/>
            <w:r>
              <w:rPr>
                <w:rFonts w:ascii="Arial" w:hAnsi="Arial"/>
                <w:sz w:val="20"/>
              </w:rPr>
              <w:t>0,3565</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(0,7875 versus 0,7375 nos dois open-source) quanto em aderência andragógica de Knowles (0,9250 versus 0,8625 do Qwen e 0,7750 do Phi-4), com F1 do Nível 2 (Substituição) elevado a 0,632 pelo prompt contrastivo, superando o Phi-4 (0,6000) e Qwen (0,5854) em todos os quatro níveis.</w:t>
      </w:r>
    </w:p>
    <w:p>
      <w:pPr>
        <w:spacing w:line="360" w:lineRule="auto" w:after="120" w:before="0"/>
        <w:ind w:firstLine="709"/>
        <w:jc w:val="both"/>
      </w:pPr>
      <w:r>
        <w:rPr>
          <w:rFonts w:ascii="Arial" w:hAnsi="Arial"/>
          <w:b w:val="0"/>
          <w:i w:val="0"/>
          <w:sz w:val="24"/>
        </w:rPr>
        <w:t>Segundo, o copiloto NR-01 com RAGAS mostra padrão interessante: o Qwen 2.5 14B atinge a maior Precision@1 (0,8750) e MRR (0,9250), seguido pelo Phi-4 14B (Precision@1 = 0,8000; MRR = 0,8708); o gpt-4o-mini, com corpus integral e prompt revisado, atinge Precision@1 = 0,6500 e MRR = 0,7271, valores intermediários. Em alucinação regulatória, gpt-4o-mini e Phi-4 14B empatam no patamar ideal de 0,0000, enquanto o Qwen ainda produz 1 citação inválida em cada 4. Esse padrão sugere que o gpt-4o-mini e o Phi-4, sob a combinação adequada de prompt de abstenção e base de validação hierárquica, são estruturalmente preferíveis em ambientes regulatórios onde alucinação zero é requisito hard.</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os três modelos produzem resultados muito próximos no gpt-4o-mini, Qwen e Phi-4 (ARI entre 0,142 e 0,150 a temperatura zero), confirmando que o gargalo desse agente é o prompt enrijecido com fronteiras semânticas e o tamanho do gold, não a capacidade do modelo. O LLM lidera, contudo, na coerência tópica c_v (0,4724 do gpt-4o-mini contra 0,3517 do k-means), métrica primária de topic modeling.</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apresentou Fβ=2 doc-level de 0,9710 (IC95% [0,9563; 0,9843]) e Fβ=2 macro span-level de 0,9688 (IC95% [0,9546; 0,9822]) sobre 1.025 casos rotulados com anotação span-level, com latência de pico abaixo de 0,1 ms. O número atinge F1 doc-level comparável ao reportado por Schiezaro et al. (2026) em ordem de grandeza (0,9817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Precision@1 = 0,6500, Recall@5 = 0,8250 (IC95% [0,7000; 0,9250]), MRR = 0,7271, faithfulness de 0,1514 (IC95% [0,0915; 0,2219]) e taxa de alucinação regulatória de 0,0000 sobre as citações produzidas, sobre corpus integral indexado de NR-01, NR-17 e LGPD (596 chunks). A faithfulness modesta configura limitação central do trabalho: o componente RAG não demonstra ancoragem efetiva, levando o LLM a responder com conhecimento paramétrico em vez de interpretar os chunks recuperados. A correção desse comportamento via reranking pós-retrieval e fine-tuning de instrução está detalhada no Capítulo 9. O analisador qualitativo, comparado contra três baselines (BERTopic, k-means k=7 sobre embeddings e LDA), atingiu ARI = 0,1498 ± 0,0069 (média de cinco seeds, temperatura zero), abaixo de k-means (0,3681) em concordância categorial, mas com coerência tópica c_v de 0,4724, superior aos três baselines (k-means 0,3517, BERTopic 0,3552, LDA 0,3460), o que sustenta o uso do LLM como método principal apesar da perda em ARI.</w:t>
      </w:r>
    </w:p>
    <w:p>
      <w:pPr>
        <w:spacing w:line="360" w:lineRule="auto" w:after="120" w:before="0"/>
        <w:ind w:firstLine="709"/>
        <w:jc w:val="both"/>
      </w:pPr>
      <w:r>
        <w:rPr>
          <w:rFonts w:ascii="Arial" w:hAnsi="Arial"/>
          <w:b w:val="0"/>
          <w:i w:val="0"/>
          <w:sz w:val="24"/>
        </w:rPr>
        <w:t>O gerador 5W2H, sob o gold cego sem vazamento de rótulo (80 cenários, action_plan_gold_v3.py), atinge acurácia de 0,7875 (IC95% [0,7000; 0,8750]) na hierarquia de quatro níveis da NR-01, sustentada pela árvore de decisão e pelos seis exemplos few-shot do prompt, com três casos contrastando explicitamente Nível 1 versus Nível 2 e Nível 2 versus Nível 3. A matriz de confusão é equilibrada nos quatro níveis: Nível 4 (Controle Individual) F1 = 0,952, Nível 3 (Controle Organizacional) F1 = 0,783, Nível 1 (Eliminação) F1 = 0,765, Nível 2 (Substituição) F1 = 0,632. A aderência andragógica é de 0,9250 e a taxa de alucinação regulatória é de 0,0000. Os trabalhos futuros descritos no Capítulo 9 incluem aplicação Likert humana das rubricas specificity e implementability pelos dois revisores independentes.</w:t>
      </w:r>
    </w:p>
    <w:p>
      <w:pPr>
        <w:spacing w:line="360" w:lineRule="auto" w:after="120" w:before="0"/>
        <w:ind w:firstLine="709"/>
        <w:jc w:val="both"/>
      </w:pPr>
      <w:r>
        <w:rPr>
          <w:rFonts w:ascii="Arial" w:hAnsi="Arial"/>
          <w:b w:val="0"/>
          <w:i w:val="0"/>
          <w:sz w:val="24"/>
        </w:rPr>
        <w:t>Este trabalho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em Precision@1 no copiloto NR-01 (0,8750 contra 0,6500) e em MRR (0,9250 contra 0,7271); gpt-4o-mini e Phi-4 atingem alucinação regulatória de exatamente 0,0000 no copiloto; o Phi-4 14B atinge ainda word range estrutural de 0,9400 no narrador, superior ao gpt-4o-mini; e o gpt-4o-mini preserva vantagem no gerador 5W2H (acurácia 0,7875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Sob a perspectiva metodológica, três princípios foram deliberadamente adotados para evitar inflação artificial dos resultados: gold cego no gerador 5W2H, sem pistas lexicais que sinalizem ao modelo a natureza do controle esperado; substituição de F1 por Fβ=2 no anti-PII, métrica adequada à assimetria entre falso positivo e falso negativo sob LGPD; e abandono de AUC/ROC para classificador determinístico sem score contínuo. Esse rigor metodológico, aliado a bootstrap não-paramétrico para todos os intervalos de confiança, sustenta que os números apresentados refletem desempenho real, verificável e reproduzível a partir do repositório público.</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definido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Reranking pós-retrieval e fine-tuning de ancoragem</w:t>
      </w:r>
    </w:p>
    <w:p>
      <w:pPr>
        <w:spacing w:line="360" w:lineRule="auto" w:after="120" w:before="0"/>
        <w:ind w:firstLine="709"/>
        <w:jc w:val="both"/>
      </w:pPr>
      <w:r>
        <w:rPr>
          <w:rFonts w:ascii="Arial" w:hAnsi="Arial"/>
          <w:b w:val="0"/>
          <w:i w:val="0"/>
          <w:sz w:val="24"/>
        </w:rPr>
        <w:t>Introduzir reranker pós-retrieval baseado em cross-encoder (por exemplo, bge-reranker-v2-m3 ou cohere-rerank-3) sobre os top-20 candidatos do retriever cosseno e selecionar os top-5 reranqueados antes de passar ao gerador. Em paralelo, explorar fine-tuning de instrução do gpt-4o-mini com pares (contexto, pergunta, resposta-ancorada) para reforçar a ancoragem semântica das sentenças geradas. Justificativa: a faithfulness de 0,1514 observada na Seção 6.4 demonstra que o LLM responde com conhecimento paramétrico em vez de interpretar os chunks recuperados, mesmo com prompt rigoroso de abstenção e corpus integral indexado. Meta: faithfulness mínima de 0,60, mantendo a alucinação regulatória abaixo de 0,05.</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gerador 5W2H atinge acurácia global de 0,7875 e F1 = 0,952 no Nível 4 (Controle Individual), com o Nível 2 (Substituição) ainda no patamar mais baixo, F1 = 0,632 (Seção 6.3). Conduzir fine-tuning supervisionado do gpt-4o-mini com pares cenário-rótulo balanceados nos quatro níveis, com ênfase em discriminação fina Substituição versus Controle Organizacional. Meta: F1 mínimo de 0,80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ALIBABA CLOUD. Qwen2.5 technical report. arXiv preprint arXiv:2412.15115, 2024.</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BRASIL. Ministério do Trabalho e Emprego. Portaria nº 1.419, de 27 de agosto de 2024. Altera a Norma Regulamentadora nº 01 (NR-01) para incluir os fatores de risco psicossocial relacionados ao trabalho. Diário Oficial da União, Brasília, 28 ago. 2024.</w:t>
      </w:r>
    </w:p>
    <w:p>
      <w:pPr>
        <w:spacing w:line="240" w:lineRule="auto" w:after="120" w:before="0"/>
        <w:ind w:firstLine="0"/>
        <w:jc w:val="both"/>
      </w:pPr>
      <w:r>
        <w:rPr>
          <w:rFonts w:ascii="Arial" w:hAnsi="Arial"/>
          <w:sz w:val="24"/>
        </w:rPr>
        <w:t>BRASIL. Ministério do Trabalho e Emprego. Portaria nº 765, de 7 de maio de 2025. Estabelece o prazo de adequação para fiscalização das disposições da NR-01 relativas aos fatores de risco psicossocial, fixando o início da vigência fiscalizável em 26 de maio de 2026. Diário Oficial da União, Brasília, 8 maio 2025.</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KNOWLES, M. S.; HOLTON III, E. F.; SWANSON, R. A. The Adult Learner: the definitive classic in adult education and human resource development. 8. ed. London: Routledge, 2015.</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SCHÜTZE,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MICROSOFT. Phi-4 technical report. arXiv preprint arXiv:2412.08905, 2024.</w:t>
      </w:r>
    </w:p>
    <w:p>
      <w:pPr>
        <w:spacing w:line="240" w:lineRule="auto" w:after="120" w:before="0"/>
        <w:ind w:firstLine="0"/>
        <w:jc w:val="both"/>
      </w:pPr>
      <w:r>
        <w:rPr>
          <w:rFonts w:ascii="Arial" w:hAnsi="Arial"/>
          <w:sz w:val="24"/>
        </w:rPr>
        <w:t>ORGANIZAÇÃO INTERNACIONAL DO TRABALHO (OIT). Mental Health at Work: policy brief. Genebra: ILO, 2022.</w:t>
      </w:r>
    </w:p>
    <w:p>
      <w:pPr>
        <w:spacing w:line="240" w:lineRule="auto" w:after="120" w:before="0"/>
        <w:ind w:firstLine="0"/>
        <w:jc w:val="both"/>
      </w:pPr>
      <w:r>
        <w:rPr>
          <w:rFonts w:ascii="Arial" w:hAnsi="Arial"/>
          <w:sz w:val="24"/>
        </w:rPr>
        <w:t>ORGANIZAÇÃO MUNDIAL DA SAÚDE (OMS). WHO Guidelines on Mental Health at Work. Genebra: WHO, 2022.</w:t>
      </w:r>
    </w:p>
    <w:p>
      <w:pPr>
        <w:spacing w:line="240" w:lineRule="auto" w:after="120" w:before="0"/>
        <w:ind w:firstLine="0"/>
        <w:jc w:val="both"/>
      </w:pPr>
      <w:r>
        <w:rPr>
          <w:rFonts w:ascii="Arial" w:hAnsi="Arial"/>
          <w:sz w:val="24"/>
        </w:rPr>
        <w:t>RÖDER, M.; BOTH, A.; HINNEBURG, A. Exploring the space of topic coherence measures. In: WSDM '15: Proceedings of the Eighth ACM International Conference on Web Search and Data Mining. Shanghai: ACM, 2015. p. 399-408.</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e da Andragogia (Malcolm Knowles)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DEFINIÇÃO ESSENCIAL: a função é INDISPENSÁVEL, mas o MÉTODO/FORMATO atual é trocável por outro. Avaliar desempenho é função; "avaliação anual única" é o MÉTODO substituível por feedback contínuo. Comunicar metas é função; "ranking público" é o MÉTODO substituível por feedback privado.</w:t>
      </w:r>
    </w:p>
    <w:p>
      <w:pPr>
        <w:spacing w:line="240" w:lineRule="auto" w:after="0" w:before="0"/>
        <w:ind w:firstLine="0" w:left="1134"/>
        <w:jc w:val="left"/>
      </w:pPr>
      <w:r>
        <w:rPr>
          <w:rFonts w:ascii="Courier New" w:hAnsi="Courier New"/>
          <w:sz w:val="18"/>
        </w:rPr>
        <w:t xml:space="preserve">      CONTRASTE COM NÍVEL 1: se a prática toda pudesse ser SIMPLESMENTE REMOVIDA sem comprometer a operação =&gt; Nível 1. Se a prática NÃO pode sumir mas seu FORMATO ATUAL pode ser trocado por outro menos danoso =&gt; Nível 2.</w:t>
      </w:r>
    </w:p>
    <w:p>
      <w:pPr>
        <w:spacing w:line="240" w:lineRule="auto" w:after="0" w:before="0"/>
        <w:ind w:firstLine="0" w:left="1134"/>
        <w:jc w:val="left"/>
      </w:pPr>
      <w:r>
        <w:rPr>
          <w:rFonts w:ascii="Courier New" w:hAnsi="Courier New"/>
          <w:sz w:val="18"/>
        </w:rPr>
        <w:t xml:space="preserve">      CONTRASTE COM NÍVEL 3: se a fragilidade está na CULTURA, na ORGANIZAÇÃO ou na CAPACITAÇÃO de gestores (e NÃO em um processo específico que pode ser literalmente trocado por outro processo) =&gt; Nível 3.</w:t>
      </w:r>
    </w:p>
    <w:p>
      <w:pPr>
        <w:spacing w:line="240" w:lineRule="auto" w:after="0" w:before="0"/>
        <w:ind w:firstLine="0" w:left="1134"/>
        <w:jc w:val="left"/>
      </w:pPr>
      <w:r>
        <w:rPr>
          <w:rFonts w:ascii="Courier New" w:hAnsi="Courier New"/>
          <w:sz w:val="18"/>
        </w:rPr>
        <w:t xml:space="preserve">      EXEMPLOS DE NÍVEL 2: produção empurrada -&gt; puxada (kanban); avaliação anual única -&gt; feedback contínuo; multitarefa forçada -&gt; foco serial; ranking público diário -&gt; feedback individual privado; ciclo de recrutamento concentrado -&gt; fluxo contínuo distribuído; reunião diária presencial obrigatória -&gt; stand-up assíncrono; e-mail como canal primário -&gt; ferramenta de mensagem com horário definido; turnos 12x36 -&gt; turnos 6x1 com folga rotativa; controle por horas trabalhadas -&gt; controle por entregas.</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 Não é Nível 1 porque a função avaliação não pode sumir; não é Nível 3 porque a intervenção é trocar UM processo específico, não redesenhar cultura.</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1):</w:t>
      </w:r>
    </w:p>
    <w:p>
      <w:pPr>
        <w:spacing w:line="240" w:lineRule="auto" w:after="0" w:before="0"/>
        <w:ind w:firstLine="0" w:left="1134"/>
        <w:jc w:val="left"/>
      </w:pPr>
      <w:r>
        <w:rPr>
          <w:rFonts w:ascii="Courier New" w:hAnsi="Courier New"/>
          <w:sz w:val="18"/>
        </w:rPr>
        <w:t xml:space="preserve">    Risco: Ritmo de Trabalho elevado no setor de Operações; descrição menciona produção empurrada (push) com filas crescentes entre estações.</w:t>
      </w:r>
    </w:p>
    <w:p>
      <w:pPr>
        <w:spacing w:line="240" w:lineRule="auto" w:after="0" w:before="0"/>
        <w:ind w:firstLine="0" w:left="1134"/>
        <w:jc w:val="left"/>
      </w:pPr>
      <w:r>
        <w:rPr>
          <w:rFonts w:ascii="Courier New" w:hAnsi="Courier New"/>
          <w:sz w:val="18"/>
        </w:rPr>
        <w:t xml:space="preserve">    Análise: produzir é função necessária (não pode ser eliminada como em Nível 1); o método "produção empurrada" é substituível por "produção puxada" (kanban) com ganho de previsibilidade e redução de carga. A substituição troca um processo por outro processo equivalente menos danoso. Não é Nível 3 porque o redesenho é técnico e localizado, não cultural.</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3):</w:t>
      </w:r>
    </w:p>
    <w:p>
      <w:pPr>
        <w:spacing w:line="240" w:lineRule="auto" w:after="0" w:before="0"/>
        <w:ind w:firstLine="0" w:left="1134"/>
        <w:jc w:val="left"/>
      </w:pPr>
      <w:r>
        <w:rPr>
          <w:rFonts w:ascii="Courier New" w:hAnsi="Courier New"/>
          <w:sz w:val="18"/>
        </w:rPr>
        <w:t xml:space="preserve">    Risco: Conflito de Papel no setor Comercial; descrição menciona uso de e-mail como canal único, gerando ambiguidade em prioridades.</w:t>
      </w:r>
    </w:p>
    <w:p>
      <w:pPr>
        <w:spacing w:line="240" w:lineRule="auto" w:after="0" w:before="0"/>
        <w:ind w:firstLine="0" w:left="1134"/>
        <w:jc w:val="left"/>
      </w:pPr>
      <w:r>
        <w:rPr>
          <w:rFonts w:ascii="Courier New" w:hAnsi="Courier New"/>
          <w:sz w:val="18"/>
        </w:rPr>
        <w:t xml:space="preserve">    Análise: comunicar prioridades é função necessária; o método "e-mail livre" é substituível por "ferramenta de tarefas com SLAs e ownership explícito". Não é Nível 3 porque NÃO se trata de capacitar gestores ou rever cultura, mas de TROCAR o canal/processo de comunicação por outro mais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de Knowles.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linguagem que reconheça a autonomia e a experiência prévia do adulto</w:t>
      </w:r>
    </w:p>
    <w:p>
      <w:pPr>
        <w:spacing w:line="240" w:lineRule="auto" w:after="0" w:before="0"/>
        <w:ind w:firstLine="0" w:left="1134"/>
        <w:jc w:val="left"/>
      </w:pPr>
      <w:r>
        <w:rPr>
          <w:rFonts w:ascii="Courier New" w:hAnsi="Courier New"/>
          <w:sz w:val="18"/>
        </w:rPr>
        <w:t xml:space="preserve">       - Incluir ao menos um elemento de reconhecimento positivo do esforço do colaborador</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andragógicos de Knowles]",</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 E ABSTENÇÃO):</w:t>
      </w:r>
    </w:p>
    <w:p>
      <w:pPr>
        <w:spacing w:line="240" w:lineRule="auto" w:after="0" w:before="0"/>
        <w:ind w:firstLine="0" w:left="1134"/>
        <w:jc w:val="left"/>
      </w:pPr>
      <w:r>
        <w:rPr>
          <w:rFonts w:ascii="Courier New" w:hAnsi="Courier New"/>
          <w:sz w:val="18"/>
        </w:rPr>
        <w:t>RESPONDA APENAS COM BASE NOS TRECHOS RECUPERADOS E NOS DADOS DA EMPRESA FORNECIDOS. Cada afirmação substantiva deve poder ser rastreada literalmente a um trecho recuperado ou a um campo dos dados da empresa. NÃO complete a resposta com conhecimento próprio, mesmo que você conheça a norma. Se um item, seção, definição, número ou prazo não aparece literalmente entre os trechos, ele NÃO existe para fins desta resposta.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GATILHO DE ABSTENÇÃO (use sempre que aplicável): Se a informação necessária para responder a pergunta não estiver nos trechos recuperados nem nos dados da empresa, escreva LITERALMENTE e SEM ACRESCENTAR NADA: "Não encontro essa informação nos documentos disponíveis. Recomendo consultar o texto integral da norma ou um especialista." Use esse gatilho com FREQUÊNCIA quando os trechos forem tangenciais ao assunto da pergunta. É preferível abster-se a responder com base em conhecimento paramétrico.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 Sem o [Documento N], a afirmação NÃO é válida.</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literalmente nos trechos recuperados. Se o usuário pedir um item específico que não está nos trechos, diga que não há base e acione o gatilho de abstenção.</w:t>
      </w:r>
    </w:p>
    <w:p>
      <w:pPr>
        <w:spacing w:line="240" w:lineRule="auto" w:after="0" w:before="0"/>
        <w:ind w:firstLine="0" w:left="1134"/>
        <w:jc w:val="left"/>
      </w:pPr>
      <w:r>
        <w:rPr>
          <w:rFonts w:ascii="Courier New" w:hAnsi="Courier New"/>
          <w:sz w:val="18"/>
        </w:rPr>
        <w:t>- VERIFICAÇÃO FINAL: antes de enviar a resposta, releia cada citação numérica/nominal e confirme que ela aparece nos trechos recuperados. Se não aparecer, remova ou substitua pela abstenção.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ANTI-COLAPSO (OBRIGATÓRIAS):</w:t>
      </w:r>
    </w:p>
    <w:p>
      <w:pPr>
        <w:spacing w:line="240" w:lineRule="auto" w:after="0" w:before="0"/>
        <w:ind w:firstLine="0" w:left="1134"/>
        <w:jc w:val="left"/>
      </w:pPr>
      <w:r>
        <w:rPr>
          <w:rFonts w:ascii="Courier New" w:hAnsi="Courier New"/>
          <w:sz w:val="18"/>
        </w:rPr>
        <w:t>a) Se DUAS OU MAIS respostas mencionarem "promoção", "crescer", "carreira", "futuro" ou "desenvolvimento profissional", você DEVE criar um cluster próprio chamado "Carreira" e NÃO fundi-lo com "Reconhecimento" ou "Liderança". Carreira é sobre FUTURO PROFISSIONAL E POSSIBILIDADES; Reconhecimento é sobre PASSADO/PRESENTE (esforço atual); Liderança é sobre COMPORTAMENTO do superior.</w:t>
      </w:r>
    </w:p>
    <w:p>
      <w:pPr>
        <w:spacing w:line="240" w:lineRule="auto" w:after="0" w:before="0"/>
        <w:ind w:firstLine="0" w:left="1134"/>
        <w:jc w:val="left"/>
      </w:pPr>
      <w:r>
        <w:rPr>
          <w:rFonts w:ascii="Courier New" w:hAnsi="Courier New"/>
          <w:sz w:val="18"/>
        </w:rPr>
        <w:t>b) "Outros" é um cluster legítimo e esperado. Crie-o sempre que tiver respostas que não cabem nos temas listados (instalações afastadas dos itens listados, salário, benefícios não-monetários específicos, comentários soltos sobre clima). NÃO force essas respostas em outros temas.</w:t>
      </w:r>
    </w:p>
    <w:p>
      <w:pPr>
        <w:spacing w:line="240" w:lineRule="auto" w:after="0" w:before="0"/>
        <w:ind w:firstLine="0" w:left="1134"/>
        <w:jc w:val="left"/>
      </w:pPr>
      <w:r>
        <w:rPr>
          <w:rFonts w:ascii="Courier New" w:hAnsi="Courier New"/>
          <w:sz w:val="18"/>
        </w:rPr>
        <w:t>c) Você DEVE produzir entre 5 e 7 clusters em datasets com mais de 100 respostas. Menos do que 5 clusters em datasets grandes é sinal de colapso e deve ser evitado.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