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sz w:val="24"/>
        </w:rPr>
        <w:t>CENTRO UNIVERSITÁRIO DE MACEIÓ — UNIMA</w:t>
      </w:r>
    </w:p>
    <w:p>
      <w:pPr>
        <w:ind w:firstLine="0"/>
        <w:jc w:val="center"/>
      </w:pPr>
      <w:r>
        <w:rPr>
          <w:b/>
          <w:sz w:val="24"/>
        </w:rPr>
        <w:t>CURSO DE GRADUAÇÃO EM ENGENHARIA DE SOFTWARE</w:t>
      </w:r>
    </w:p>
    <w:p/>
    <w:p/>
    <w:p/>
    <w:p/>
    <w:p/>
    <w:p/>
    <w:p>
      <w:pPr>
        <w:ind w:firstLine="0"/>
        <w:jc w:val="center"/>
      </w:pPr>
      <w:r>
        <w:rPr>
          <w:b/>
          <w:sz w:val="24"/>
        </w:rPr>
        <w:t>GUILHERME ROMUALDO</w:t>
      </w:r>
    </w:p>
    <w:p/>
    <w:p/>
    <w:p/>
    <w:p/>
    <w:p/>
    <w:p/>
    <w:p>
      <w:pPr>
        <w:ind w:firstLine="0"/>
        <w:jc w:val="center"/>
      </w:pPr>
      <w:r>
        <w:rPr>
          <w:b/>
          <w:sz w:val="28"/>
        </w:rPr>
        <w:t>MOTOR RAG (RETRIEVAL-AUGMENTED GENERATION) LOCAL:</w:t>
      </w:r>
    </w:p>
    <w:p>
      <w:pPr>
        <w:ind w:firstLine="0"/>
        <w:jc w:val="center"/>
      </w:pPr>
      <w:r>
        <w:rPr>
          <w:b/>
          <w:sz w:val="28"/>
        </w:rPr>
        <w:t>PROJETO E IMPLEMENTAÇÃO MANUAL DE ESTRUTURAS DE DADOS PARA BUSCA TEXTUAL OFFLINE</w:t>
      </w:r>
    </w:p>
    <w:p/>
    <w:p/>
    <w:p/>
    <w:p/>
    <w:p/>
    <w:p/>
    <w:p/>
    <w:p/>
    <w:p/>
    <w:p/>
    <w:p/>
    <w:p/>
    <w:p>
      <w:pPr>
        <w:ind w:firstLine="0"/>
        <w:jc w:val="center"/>
      </w:pPr>
      <w:r>
        <w:rPr>
          <w:b/>
          <w:sz w:val="24"/>
        </w:rPr>
        <w:t>MACEIÓ</w:t>
      </w:r>
    </w:p>
    <w:p>
      <w:pPr>
        <w:ind w:firstLine="0"/>
        <w:jc w:val="center"/>
      </w:pPr>
      <w:r>
        <w:rPr>
          <w:b/>
          <w:sz w:val="24"/>
        </w:rPr>
        <w:t>2026</w:t>
      </w:r>
    </w:p>
    <w:p>
      <w:r>
        <w:br w:type="page"/>
      </w:r>
    </w:p>
    <w:p>
      <w:pPr>
        <w:ind w:firstLine="0"/>
        <w:jc w:val="center"/>
      </w:pPr>
      <w:r>
        <w:rPr>
          <w:b/>
          <w:sz w:val="24"/>
        </w:rPr>
        <w:t>GUILHERME ROMUALDO</w:t>
      </w:r>
    </w:p>
    <w:p/>
    <w:p/>
    <w:p/>
    <w:p/>
    <w:p/>
    <w:p/>
    <w:p/>
    <w:p/>
    <w:p>
      <w:pPr>
        <w:ind w:firstLine="0"/>
        <w:jc w:val="center"/>
      </w:pPr>
      <w:r>
        <w:rPr>
          <w:b/>
          <w:sz w:val="28"/>
        </w:rPr>
        <w:t>MOTOR RAG (RETRIEVAL-AUGMENTED GENERATION) LOCAL:</w:t>
      </w:r>
    </w:p>
    <w:p>
      <w:pPr>
        <w:ind w:firstLine="0"/>
        <w:jc w:val="center"/>
      </w:pPr>
      <w:r>
        <w:rPr>
          <w:b/>
          <w:sz w:val="28"/>
        </w:rPr>
        <w:t>PROJETO E IMPLEMENTAÇÃO MANUAL DE ESTRUTURAS DE DADOS PARA BUSCA TEXTUAL OFFLINE</w:t>
      </w:r>
    </w:p>
    <w:p/>
    <w:p/>
    <w:p/>
    <w:p/>
    <w:p>
      <w:pPr>
        <w:spacing w:line="240" w:lineRule="auto"/>
        <w:ind w:firstLine="0" w:left="4535"/>
        <w:jc w:val="both"/>
      </w:pPr>
      <w:r>
        <w:rPr>
          <w:rFonts w:ascii="Times New Roman" w:hAnsi="Times New Roman"/>
          <w:sz w:val="20"/>
        </w:rPr>
        <w:t>Trabalho apresentado como requisito parcial à conclusão da disciplina de Estrutura de Dados, do Curso de Engenharia de Software do Centro Universitário de Maceió — UNIMA.</w:t>
      </w:r>
    </w:p>
    <w:p/>
    <w:p/>
    <w:p/>
    <w:p/>
    <w:p/>
    <w:p/>
    <w:p/>
    <w:p/>
    <w:p/>
    <w:p/>
    <w:p>
      <w:pPr>
        <w:ind w:firstLine="0"/>
        <w:jc w:val="center"/>
      </w:pPr>
      <w:r>
        <w:rPr>
          <w:b/>
          <w:sz w:val="24"/>
        </w:rPr>
        <w:t>MACEIÓ</w:t>
      </w:r>
    </w:p>
    <w:p>
      <w:pPr>
        <w:ind w:firstLine="0"/>
        <w:jc w:val="center"/>
      </w:pPr>
      <w:r>
        <w:rPr>
          <w:b/>
          <w:sz w:val="24"/>
        </w:rPr>
        <w:t>2026</w:t>
      </w:r>
    </w:p>
    <w:p>
      <w:r>
        <w:br w:type="page"/>
      </w:r>
    </w:p>
    <w:p>
      <w:pPr>
        <w:pStyle w:val="Heading1"/>
        <w:jc w:val="center"/>
      </w:pPr>
      <w:r>
        <w:t>RESUMO</w:t>
      </w:r>
    </w:p>
    <w:p>
      <w:r>
        <w:t>Este trabalho apresenta o projeto e a implementação de um Motor RAG (Retrieval-Augmented Generation) local, concebido para responder a consultas textuais sobre um corpus de documentos sem dependência de serviços externos. O sistema integra quatro estruturas de dados implementadas integralmente do zero pelo autor: uma Tabela Hash com tratamento de colisões por encadeamento separado, uma Árvore Trie para autocompletar via busca em profundidade (DFS), uma Árvore Splay para cache adaptativo de metadados e o algoritmo HeapSort com seleção Top-K para ordenação dos documentos por relevância. A pontuação dos resultados utiliza TF-IDF clássico calculado sobre o índice invertido construído a partir da tabela hash. O motor opera via linha de comando, processando um arquivo JSON de entrada e produzindo um arquivo JSON de saída determinístico. Três cenários de teste foram automatizados — básico, avançado e estresse — sendo este último composto por 10.000 documentos contendo 59.967 termos únicos e 500 consultas, atendendo e ultrapassando a meta de volume estabelecida. Os resultados demonstram tempo médio de 7,98 ms por consulta e pico de uso de memória de 195 MiB no cenário de estresse, com determinismo criptograficamente verificado entre execuções sucessivas.</w:t>
      </w:r>
    </w:p>
    <w:p/>
    <w:p>
      <w:r>
        <w:rPr>
          <w:b/>
        </w:rPr>
        <w:t xml:space="preserve">Palavras-chave: </w:t>
      </w:r>
      <w:r>
        <w:t>estruturas de dados; tabela hash; árvore trie; árvore splay; heapsort; recuperação de informação.</w:t>
      </w:r>
    </w:p>
    <w:p>
      <w:r>
        <w:br w:type="page"/>
      </w:r>
    </w:p>
    <w:p>
      <w:pPr>
        <w:pStyle w:val="Heading1"/>
        <w:jc w:val="center"/>
      </w:pPr>
      <w:r>
        <w:t>SUMÁRIO</w:t>
      </w:r>
    </w:p>
    <w:p>
      <w:pPr>
        <w:spacing w:line="360" w:lineRule="auto"/>
        <w:ind w:firstLine="0"/>
      </w:pPr>
      <w:r>
        <w:t>1 INTRODUÇÃO</w:t>
      </w:r>
    </w:p>
    <w:p>
      <w:pPr>
        <w:spacing w:line="360" w:lineRule="auto"/>
        <w:ind w:firstLine="0"/>
      </w:pPr>
      <w:r>
        <w:t>2 FUNDAMENTAÇÃO TEÓRICA</w:t>
      </w:r>
    </w:p>
    <w:p>
      <w:pPr>
        <w:spacing w:line="360" w:lineRule="auto"/>
        <w:ind w:firstLine="0"/>
      </w:pPr>
      <w:r>
        <w:t xml:space="preserve">   2.1 Tabela Hash com Encadeamento Separado</w:t>
      </w:r>
    </w:p>
    <w:p>
      <w:pPr>
        <w:spacing w:line="360" w:lineRule="auto"/>
        <w:ind w:firstLine="0"/>
      </w:pPr>
      <w:r>
        <w:t xml:space="preserve">   2.2 Árvore Trie e Autocompletar por DFS</w:t>
      </w:r>
    </w:p>
    <w:p>
      <w:pPr>
        <w:spacing w:line="360" w:lineRule="auto"/>
        <w:ind w:firstLine="0"/>
      </w:pPr>
      <w:r>
        <w:t xml:space="preserve">   2.3 Árvore Splay e Cache Adaptativo</w:t>
      </w:r>
    </w:p>
    <w:p>
      <w:pPr>
        <w:spacing w:line="360" w:lineRule="auto"/>
        <w:ind w:firstLine="0"/>
      </w:pPr>
      <w:r>
        <w:t xml:space="preserve">   2.4 HeapSort e Seleção Top-K</w:t>
      </w:r>
    </w:p>
    <w:p>
      <w:pPr>
        <w:spacing w:line="360" w:lineRule="auto"/>
        <w:ind w:firstLine="0"/>
      </w:pPr>
      <w:r>
        <w:t xml:space="preserve">   2.5 Modelo de Pontuação TF-IDF</w:t>
      </w:r>
    </w:p>
    <w:p>
      <w:pPr>
        <w:spacing w:line="360" w:lineRule="auto"/>
        <w:ind w:firstLine="0"/>
      </w:pPr>
      <w:r>
        <w:t>3 ARQUITETURA DO SISTEMA</w:t>
      </w:r>
    </w:p>
    <w:p>
      <w:pPr>
        <w:spacing w:line="360" w:lineRule="auto"/>
        <w:ind w:firstLine="0"/>
      </w:pPr>
      <w:r>
        <w:t>4 IMPLEMENTAÇÃO DOS REQUISITOS FUNCIONAIS</w:t>
      </w:r>
    </w:p>
    <w:p>
      <w:pPr>
        <w:spacing w:line="360" w:lineRule="auto"/>
        <w:ind w:firstLine="0"/>
      </w:pPr>
      <w:r>
        <w:t xml:space="preserve">   4.1 RF01 — Índice Invertido sobre Tabela Hash</w:t>
      </w:r>
    </w:p>
    <w:p>
      <w:pPr>
        <w:spacing w:line="360" w:lineRule="auto"/>
        <w:ind w:firstLine="0"/>
      </w:pPr>
      <w:r>
        <w:t xml:space="preserve">   4.2 RF02 — Autocompletar via Trie e DFS</w:t>
      </w:r>
    </w:p>
    <w:p>
      <w:pPr>
        <w:spacing w:line="360" w:lineRule="auto"/>
        <w:ind w:firstLine="0"/>
      </w:pPr>
      <w:r>
        <w:t xml:space="preserve">   4.3 RF03 — Cache de Metadados via Splay Tree</w:t>
      </w:r>
    </w:p>
    <w:p>
      <w:pPr>
        <w:spacing w:line="360" w:lineRule="auto"/>
        <w:ind w:firstLine="0"/>
      </w:pPr>
      <w:r>
        <w:t xml:space="preserve">   4.4 RF04 — Ordenação Top-K via HeapSort</w:t>
      </w:r>
    </w:p>
    <w:p>
      <w:pPr>
        <w:spacing w:line="360" w:lineRule="auto"/>
        <w:ind w:firstLine="0"/>
      </w:pPr>
      <w:r>
        <w:t>5 ANÁLISE DE COMPLEXIDADE</w:t>
      </w:r>
    </w:p>
    <w:p>
      <w:pPr>
        <w:spacing w:line="360" w:lineRule="auto"/>
        <w:ind w:firstLine="0"/>
      </w:pPr>
      <w:r>
        <w:t>6 METODOLOGIA DE TESTES</w:t>
      </w:r>
    </w:p>
    <w:p>
      <w:pPr>
        <w:spacing w:line="360" w:lineRule="auto"/>
        <w:ind w:firstLine="0"/>
      </w:pPr>
      <w:r>
        <w:t>7 RESULTADOS E PROVA DE CARGA</w:t>
      </w:r>
    </w:p>
    <w:p>
      <w:pPr>
        <w:spacing w:line="360" w:lineRule="auto"/>
        <w:ind w:firstLine="0"/>
      </w:pPr>
      <w:r>
        <w:t>8 CONSIDERAÇÕES FINAIS</w:t>
      </w:r>
    </w:p>
    <w:p>
      <w:pPr>
        <w:spacing w:line="360" w:lineRule="auto"/>
        <w:ind w:firstLine="0"/>
      </w:pPr>
      <w:r>
        <w:t>REFERÊNCIAS</w:t>
      </w:r>
    </w:p>
    <w:p>
      <w:r>
        <w:br w:type="page"/>
      </w:r>
    </w:p>
    <w:p>
      <w:pPr>
        <w:pStyle w:val="Heading1"/>
      </w:pPr>
      <w:r>
        <w:t>1 INTRODUÇÃO</w:t>
      </w:r>
    </w:p>
    <w:p>
      <w:r>
        <w:t>O paradigma Retrieval-Augmented Generation (RAG) tornou-se central em arquiteturas modernas de inteligência artificial aplicada a domínios fechados, nos quais a recuperação eficiente de fragmentos textuais previamente indexados precede a etapa de geração de respostas. Em cenários offline — sejam eles motivados por requisitos de confidencialidade, latência ou ausência de conectividade — o motor de recuperação deve operar de forma autossuficiente, encapsulando em memória todas as estruturas de indexação necessárias.</w:t>
      </w:r>
    </w:p>
    <w:p>
      <w:r>
        <w:t>Este trabalho descreve o projeto, a implementação e a avaliação empírica de um Motor RAG local desenvolvido inteiramente em Python, no qual cada estrutura de dados central foi escrita do zero, sem recorrer a bibliotecas de alto nível ou contêineres prontos da linguagem hospedeira. O sistema atende a três operações principais: (i) busca textual com ranqueamento por relevância; (ii) autocompletar baseado em vocabulário indexado; e (iii) cache adaptativo de metadados frequentemente acessados.</w:t>
      </w:r>
    </w:p>
    <w:p>
      <w:r>
        <w:t>A contribuição do trabalho é tripla. Primeiro, a entrega de uma implementação didática e reprodutível das quatro estruturas exigidas pelo enunciado — Tabela Hash, Trie, Árvore Splay e HeapSort. Segundo, a integração destas estruturas em uma arquitetura coesa que aplica o modelo TF-IDF clássico para pontuar documentos. Terceiro, a construção automatizada de um cenário de estresse compatível com a rubrica do projeto (10.000 documentos contendo no mínimo 50.000 termos únicos) acompanhado de um benchmark quantitativo de tempo de execução, uso de memória e determinismo da saída.</w:t>
      </w:r>
    </w:p>
    <w:p>
      <w:r>
        <w:t>O texto está estruturado da seguinte forma. A Seção 2 apresenta a fundamentação teórica das estruturas e algoritmos utilizados. A Seção 3 descreve a arquitetura modular do sistema. A Seção 4 detalha a implementação de cada um dos quatro Requisitos Funcionais. A Seção 5 analisa formalmente a complexidade temporal e espacial das operações. A Seção 6 expõe a metodologia de testes adotada, incluindo geração automatizada de dados e verificação de determinismo. A Seção 7 reporta os resultados experimentais. A Seção 8 sintetiza as considerações finais.</w:t>
      </w:r>
    </w:p>
    <w:p>
      <w:pPr>
        <w:pStyle w:val="Heading1"/>
      </w:pPr>
      <w:r>
        <w:t>2 FUNDAMENTAÇÃO TEÓRICA</w:t>
      </w:r>
    </w:p>
    <w:p>
      <w:pPr>
        <w:pStyle w:val="Heading2"/>
      </w:pPr>
      <w:r>
        <w:t>2.1 Tabela Hash com Encadeamento Separado</w:t>
      </w:r>
    </w:p>
    <w:p>
      <w:r>
        <w:t>Uma tabela hash é uma estrutura de dados que estabelece um mapeamento entre chaves e valores por meio de uma função de dispersão h: K → [0, m-1], onde m representa o tamanho do vetor de buckets. Quando duas chaves distintas k₁ e k₂ produzem o mesmo índice — situação denominada colisão — adota-se uma política de resolução. O encadeamento separado (separate chaining) armazena, em cada bucket, uma lista encadeada de pares (chave, valor) colidentes (CORMEN et al., 2009).</w:t>
      </w:r>
    </w:p>
    <w:p>
      <w:r>
        <w:t>Sob a hipótese de hash uniforme simples — segundo a qual cada chave tem probabilidade 1/m de mapear-se a um bucket específico — as operações de inserção, busca e remoção apresentam custo esperado Θ(1 + α), onde α = n/m denota o fator de carga. A estrutura implementada neste trabalho mantém α ≤ 0,75 através de redimensionamento automático (rehashing), evitando degradação assintótica das operações.</w:t>
      </w:r>
    </w:p>
    <w:p>
      <w:r>
        <w:t>A função de dispersão adotada é uma variante do algoritmo DJB2 (BERNSTEIN, 1991), conhecida pela boa distribuição em chaves textuais. A escolha por uma função própria — e não pela primitiva hash() da linguagem hospedeira — garante a reprodutibilidade dos resultados independentemente do valor de PYTHONHASHSEED.</w:t>
      </w:r>
    </w:p>
    <w:p>
      <w:pPr>
        <w:pStyle w:val="Heading2"/>
      </w:pPr>
      <w:r>
        <w:t>2.2 Árvore Trie e Autocompletar por DFS</w:t>
      </w:r>
    </w:p>
    <w:p>
      <w:r>
        <w:t>A árvore de prefixos, ou Trie (FREDKIN, 1960), é uma estrutura arbórea ordenada na qual cada aresta é rotulada com um símbolo do alfabeto e cada caminho da raiz até um nó representa um prefixo do vocabulário indexado. Nós marcados como terminais correspondem a palavras completas. A grande vantagem da Trie sobre estruturas baseadas em comparação total de strings reside no fato de que o tempo de busca depende apenas do comprimento da chave consultada, e não do tamanho do dicionário.</w:t>
      </w:r>
    </w:p>
    <w:p>
      <w:r>
        <w:t>Para a operação de autocompletar, descende-se até o nó correspondente ao prefixo informado e, a partir dele, executa-se uma busca em profundidade (DFS) que enumera todas as palavras armazenadas na subárvore. A DFS é tipicamente implementada de forma recursiva, contudo, para evitar limites de pilha em prefixos longos, adotou-se neste trabalho a variante iterativa baseada em uma estrutura de pilha explícita.</w:t>
      </w:r>
    </w:p>
    <w:p>
      <w:pPr>
        <w:pStyle w:val="Heading2"/>
      </w:pPr>
      <w:r>
        <w:t>2.3 Árvore Splay e Cache Adaptativo</w:t>
      </w:r>
    </w:p>
    <w:p>
      <w:r>
        <w:t>A Árvore Splay (SLEATOR; TARJAN, 1985) é uma árvore binária de busca auto-ajustável que se reorganiza a cada acesso, deslocando o elemento consultado até a raiz por meio de uma sequência de rotações conhecidas como operações zig, zig-zig e zig-zag. Embora não imponha invariantes estruturais de balanceamento — como faz a AVL ou a Red-Black —, a Splay assegura custo amortizado O(log n) para inserção, busca e remoção, e adicionalmente satisfaz o Teorema do Conjunto de Trabalho, segundo o qual sequências de acessos enviesadas (em que poucos elementos concentram a maior parte das consultas) tornam-se ainda mais eficientes que o logarítmico amortizado.</w:t>
      </w:r>
    </w:p>
    <w:p>
      <w:r>
        <w:t>Estas propriedades fazem da Splay um candidato natural para implementar caches do tipo LRU (Least Recently Used), nos quais elementos quentes devem permanecer acessíveis com o menor número possível de operações.</w:t>
      </w:r>
    </w:p>
    <w:p>
      <w:pPr>
        <w:pStyle w:val="Heading2"/>
      </w:pPr>
      <w:r>
        <w:t>2.4 HeapSort e Seleção Top-K</w:t>
      </w:r>
    </w:p>
    <w:p>
      <w:r>
        <w:t>O HeapSort (WILLIAMS, 1964) é um algoritmo de ordenação por comparação que opera in-place em O(n log n) no pior caso, consistindo em duas fases: (i) construção de um heap binário a partir do vetor de entrada, em tempo linear; e (ii) extração sucessiva do elemento raiz, restabelecendo a propriedade de heap após cada extração, totalizando O(n log n) operações.</w:t>
      </w:r>
    </w:p>
    <w:p>
      <w:r>
        <w:t>Para o problema correlato de selecionar os K maiores elementos de um conjunto de tamanho N (K &lt;&lt; N), o emprego direto do HeapSort seria assintoticamente subótimo. A abordagem clássica consiste em manter uma min-heap de capacidade K, na qual a raiz armazena o menor dos K maiores correntes; quando um novo elemento supera essa raiz, ele a substitui e a propriedade de heap é restaurada. O custo total reduz-se a O(N log K), com uso de memória O(K).</w:t>
      </w:r>
    </w:p>
    <w:p>
      <w:pPr>
        <w:pStyle w:val="Heading2"/>
      </w:pPr>
      <w:r>
        <w:t>2.5 Modelo de Pontuação TF-IDF</w:t>
      </w:r>
    </w:p>
    <w:p>
      <w:r>
        <w:t>O esquema TF-IDF (term frequency — inverse document frequency), introduzido por Salton (SALTON; BUCKLEY, 1988), é um método consagrado para atribuir pesos a termos em coleções textuais. A pontuação de um documento d em relação a uma consulta q é calculada conforme a expressão:</w:t>
      </w:r>
    </w:p>
    <w:p>
      <w:pPr>
        <w:pStyle w:val="CodeBlock"/>
      </w:pPr>
      <w:r>
        <w:t>score(d, q) = Σ_{t ∈ q}  tf(t, d) · idf(t)</w:t>
        <w:br/>
        <w:t>idf(t)      = log( (1 + N) / (1 + df(t)) ) + 1</w:t>
        <w:br/>
        <w:t>tf(t, d)    = count(t, d) / max(1, |d|)</w:t>
      </w:r>
    </w:p>
    <w:p>
      <w:r>
        <w:t>Nesta formulação, N denota o número total de documentos da coleção, df(t) corresponde ao número de documentos que contêm o termo t e |d| representa o comprimento (em tokens) do documento d. A suavização aditiva (+1) tanto no numerador quanto no denominador do idf evita divisões por zero e atenua o impacto de termos extremamente raros.</w:t>
      </w:r>
    </w:p>
    <w:p>
      <w:pPr>
        <w:pStyle w:val="Heading1"/>
      </w:pPr>
      <w:r>
        <w:t>3 ARQUITETURA DO SISTEMA</w:t>
      </w:r>
    </w:p>
    <w:p>
      <w:r>
        <w:t>O sistema foi desenvolvido em Python 3.11 e organiza-se em quatro camadas modulares: (i) estruturas de dados de baixo nível, localizadas em src/structures; (ii) camada de motor, em src/engine, responsável pela tokenização, scoring e orquestração; (iii) camada de geração de dados, em src/generators, encarregada de produzir massas de teste sintéticas; e (iv) camada de interface de linha de comando, em src/main.py, que recebe arquivos JSON de entrada e produz arquivos JSON de saída.</w:t>
      </w:r>
    </w:p>
    <w:p>
      <w:r>
        <w:t>Nenhum dos arquivos da camada de estruturas importa bibliotecas externas ou contêineres prontos da biblioteca padrão (a exemplo de collections.OrderedDict, heapq ou bisect); a verificação por análise estática dos imports confirma o atendimento dessa restrição. A camada de geração de dados utiliza as bibliotecas random e Faker, ambas explicitamente permitidas pela rubrica como auxiliares à produção de dados falsos.</w:t>
      </w:r>
    </w:p>
    <w:p>
      <w:r>
        <w:t>O fluxo de execução de uma consulta de busca é o seguinte. (1) O tokenizador normaliza a consulta aplicando a forma NFD do padrão Unicode e removendo diacríticos, garantindo que “árvore” e “arvore” sejam tratadas como o mesmo termo. (2) Para cada termo resultante, consulta-se o índice invertido — implementado sobre a Tabela Hash — obtendo a lista de documentos que contêm o termo, juntamente com a frequência. (3) Calcula-se o score TF-IDF acumulado por documento em uma tabela hash auxiliar. (4) Aplica-se a função top_k, baseada em min-heap, para selecionar os K documentos de maior pontuação em O(N log K). (5) Empates de pontuação são desempatados pela ordem lexicográfica do identificador do documento, garantindo determinismo da saída. (6) Cada documento retornado é registrado no cache Splay, sendo deslocado para a raiz da árvore.</w:t>
      </w:r>
    </w:p>
    <w:p>
      <w:pPr>
        <w:pStyle w:val="Heading1"/>
      </w:pPr>
      <w:r>
        <w:t>4 IMPLEMENTAÇÃO DOS REQUISITOS FUNCIONAIS</w:t>
      </w:r>
    </w:p>
    <w:p>
      <w:pPr>
        <w:pStyle w:val="Heading2"/>
      </w:pPr>
      <w:r>
        <w:t>4.1 RF01 — Índice Invertido sobre Tabela Hash</w:t>
      </w:r>
    </w:p>
    <w:p>
      <w:r>
        <w:t>A classe HashTable implementa redimensionamento automático (rehashing) sempre que o fator de carga ultrapassa 0,75. A capacidade inicial é arredondada para a próxima potência de dois, o que permite substituir a operação de módulo pela operação bit-a-bit AND com (capacidade − 1), reduzindo o custo da indexação.</w:t>
      </w:r>
    </w:p>
    <w:p>
      <w:r>
        <w:t>Sobre essa estrutura, a classe InvertedIndex constrói um mapeamento termo → {doc_id → frequência}, no qual a posting list de cada termo é, por sua vez, uma HashTable de (doc_id → contagem). Esta composição mantém todas as operações de atualização e consulta do índice em O(1) esperado.</w:t>
      </w:r>
    </w:p>
    <w:p>
      <w:pPr>
        <w:pStyle w:val="Heading2"/>
      </w:pPr>
      <w:r>
        <w:t>4.2 RF02 — Autocompletar via Trie e DFS</w:t>
      </w:r>
    </w:p>
    <w:p>
      <w:r>
        <w:t>Cada nó da Trie referencia seus filhos através de uma instância da HashTable própria — não do dicionário nativo da linguagem —, reforçando a coerência metodológica do projeto. A operação autocomplete localiza primeiro o nó correspondente ao prefixo consultado em O(L), onde L é o comprimento do prefixo, e em seguida executa uma busca em profundidade iterativa que enumera as palavras da subárvore. Os filhos são processados em ordem lexicográfica para que a saída seja determinística e independente da ordem de inserção.</w:t>
      </w:r>
    </w:p>
    <w:p>
      <w:r>
        <w:t>A camada superior reordena o conjunto de sugestões por frequência decrescente utilizando o HeapSort externo (RF04), de modo que as palavras mais comuns aparecem primeiro. Quando há empate de frequência, o desempate ocorre pela ordem lexicográfica ascendente.</w:t>
      </w:r>
    </w:p>
    <w:p>
      <w:pPr>
        <w:pStyle w:val="Heading2"/>
      </w:pPr>
      <w:r>
        <w:t>4.3 RF03 — Cache de Metadados via Splay Tree</w:t>
      </w:r>
    </w:p>
    <w:p>
      <w:r>
        <w:t>A árvore Splay é parametrizada por uma capacidade máxima (default = 256, configurada para 512 no cenário de estresse). Quando essa capacidade é excedida, dispara-se uma política de ejeção determinística que percorre a árvore a partir da raiz sempre pelo filho esquerdo (e, na ausência deste, pelo direito) até atingir uma folha, a qual é então removida. Esta heurística aproveita a propriedade fundamental da Splay — itens recentemente acessados situam-se próximos à raiz — para garantir que a folha mais distante represente um item frio do ponto de vista do padrão de acessos.</w:t>
      </w:r>
    </w:p>
    <w:p>
      <w:pPr>
        <w:pStyle w:val="Heading2"/>
      </w:pPr>
      <w:r>
        <w:t>4.4 RF04 — Ordenação Top-K via HeapSort</w:t>
      </w:r>
    </w:p>
    <w:p>
      <w:r>
        <w:t>Duas funções compõem este requisito. A função heap_sort executa a ordenação completa de um vetor in-place, com construção de heap em O(n) seguida de n−1 extrações em O(log n) cada. A função top_k, por sua vez, mantém uma min-heap de tamanho K sobre o fluxo de entrada: para cada novo elemento, se a heap ainda não atingiu K elementos, insere-se; caso contrário, comparara-se com a raiz e substitui-se quando o novo elemento for maior. Ao final, ordena-se a heap residual em ordem decrescente. O custo total é O(N log K), com memória adicional O(K).</w:t>
      </w:r>
    </w:p>
    <w:p>
      <w:pPr>
        <w:pStyle w:val="Heading1"/>
      </w:pPr>
      <w:r>
        <w:t>5 ANÁLISE DE COMPLEXIDADE</w:t>
      </w:r>
    </w:p>
    <w:p>
      <w:r>
        <w:t>A Tabela 1 sintetiza as complexidades temporais e espaciais das operações principais. Adotam-se as seguintes convenções: N denota o número de documentos indexados; V o tamanho do vocabulário (termos únicos); L o comprimento de uma palavra ou prefixo; e K o limite de retorno da busca Top-K.</w:t>
      </w:r>
    </w:p>
    <w:p>
      <w:pPr>
        <w:pStyle w:val="CaptionABNT"/>
      </w:pPr>
      <w:r>
        <w:rPr>
          <w:b/>
          <w:sz w:val="20"/>
        </w:rPr>
        <w:t xml:space="preserve">Tabela 1 </w:t>
      </w:r>
      <w:r>
        <w:rPr>
          <w:sz w:val="20"/>
        </w:rPr>
        <w:t>— Complexidades das operações principais.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Operação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Caso médio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Pior caso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Memória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HashTable.put / get / remove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O(1)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O(N)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O(N)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InvertedIndex.add_document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O(D)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O(D · N)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O(V · N)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Trie.insert / contains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O(L)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O(L)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O(L)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Trie.autocomplete(prefix, K)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O(L + S log S)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O(L + V)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O(V)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SplayTree.insert / get / remove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O(log N)*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O(N)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O(N)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heap_sort(arr)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O(N log N)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O(N log N)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O(1)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top_k(arr, K)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O(N log K)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O(N log K)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O(K)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search(query, K) — total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O(|q| · M + N log K)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O(N)</w:t>
            </w:r>
          </w:p>
        </w:tc>
      </w:tr>
    </w:tbl>
    <w:p>
      <w:r>
        <w:t>* Complexidade amortizada, conforme demonstrado por Sleator e Tarjan (1985). Na linha de search, M denota o tamanho médio da posting list dos termos da consulta.</w:t>
      </w:r>
    </w:p>
    <w:p>
      <w:pPr>
        <w:pStyle w:val="Heading1"/>
      </w:pPr>
      <w:r>
        <w:t>6 METODOLOGIA DE TESTES</w:t>
      </w:r>
    </w:p>
    <w:p>
      <w:r>
        <w:t>A estratégia de validação articula-se em três níveis complementares. Primeiro, testes unitários sobre cada estrutura de dados, escritos com a biblioteca unittest da biblioteca padrão do Python, cobrem inserção, busca, remoção, iteração e casos limítrofes. Foram especificados 18 casos de teste, incluindo um teste de estresse aleatório sobre a HashTable com 2.000 operações dirigidas por uma instância de random.Random com semente fixa.</w:t>
      </w:r>
    </w:p>
    <w:p>
      <w:r>
        <w:t>Segundo, testes de aceitação executados sobre três cenários completos — denominados básico, avançado e estresse — cujas saídas reais são comparadas, item por item, com gabaritos previamente armazenados no diretório data. A ferramenta src.tools.diff_outputs realiza essa comparação ignorando o campo estatisticas (que contém medições temporais dependentes do hardware) e validando estritamente o campo resultados.</w:t>
      </w:r>
    </w:p>
    <w:p>
      <w:r>
        <w:t>Terceiro, um benchmark dedicado, encapsulado em src.tools.stress_bench, mede tempo de execução e pico de uso de memória residente (RSS) ao processar o cenário de estresse. A geração das massas de teste é integralmente automatizada por src.generators.generate_data, sendo controlada por uma semente fixa (seed = 42) que garante reprodutibilidade.</w:t>
      </w:r>
    </w:p>
    <w:p>
      <w:pPr>
        <w:pStyle w:val="Heading1"/>
      </w:pPr>
      <w:r>
        <w:t>7 RESULTADOS E PROVA DE CARGA</w:t>
      </w:r>
    </w:p>
    <w:p>
      <w:r>
        <w:t>Todos os experimentos foram conduzidos em um computador equipado com processador Apple Silicon e 16 GB de memória RAM, sob o sistema operacional macOS 14. A versão da linguagem hospedeira é Python 3.11.</w:t>
      </w:r>
    </w:p>
    <w:p>
      <w:pPr>
        <w:pStyle w:val="CaptionABNT"/>
      </w:pPr>
      <w:r>
        <w:rPr>
          <w:b/>
          <w:sz w:val="20"/>
        </w:rPr>
        <w:t xml:space="preserve">Tabela 2 </w:t>
      </w:r>
      <w:r>
        <w:rPr>
          <w:sz w:val="20"/>
        </w:rPr>
        <w:t>— Volume de dados dos três cenários de teste.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Cenário</w:t>
            </w:r>
          </w:p>
        </w:tc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Documentos</w:t>
            </w:r>
          </w:p>
        </w:tc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Termos únicos</w:t>
            </w:r>
          </w:p>
        </w:tc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Consultas</w:t>
            </w:r>
          </w:p>
        </w:tc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Tamanho do input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Básico</w:t>
            </w:r>
          </w:p>
        </w:tc>
        <w:tc>
          <w:tcPr>
            <w:tcW w:type="dxa" w:w="181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57</w:t>
            </w:r>
          </w:p>
        </w:tc>
        <w:tc>
          <w:tcPr>
            <w:tcW w:type="dxa" w:w="181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2,1 KiB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Avançado</w:t>
            </w:r>
          </w:p>
        </w:tc>
        <w:tc>
          <w:tcPr>
            <w:tcW w:type="dxa" w:w="181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82</w:t>
            </w:r>
          </w:p>
        </w:tc>
        <w:tc>
          <w:tcPr>
            <w:tcW w:type="dxa" w:w="181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3,2 KiB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Estresse</w:t>
            </w:r>
          </w:p>
        </w:tc>
        <w:tc>
          <w:tcPr>
            <w:tcW w:type="dxa" w:w="181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181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59.967</w:t>
            </w:r>
          </w:p>
        </w:tc>
        <w:tc>
          <w:tcPr>
            <w:tcW w:type="dxa" w:w="181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500</w:t>
            </w:r>
          </w:p>
        </w:tc>
        <w:tc>
          <w:tcPr>
            <w:tcW w:type="dxa" w:w="181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6,4 MiB</w:t>
            </w:r>
          </w:p>
        </w:tc>
      </w:tr>
    </w:tbl>
    <w:p>
      <w:pPr>
        <w:pStyle w:val="CaptionABNT"/>
      </w:pPr>
      <w:r>
        <w:rPr>
          <w:b/>
          <w:sz w:val="20"/>
        </w:rPr>
        <w:t xml:space="preserve">Tabela 3 </w:t>
      </w:r>
      <w:r>
        <w:rPr>
          <w:sz w:val="20"/>
        </w:rPr>
        <w:t>— Medições no cenário de estresse.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Métrica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Valor obtido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Meta da rubrica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Documentos indexados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≥ 10.000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Termos únicos no vocabulário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59.967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≥ 50.000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Consultas processadas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500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Tempo de indexação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≈ 5,3 s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Tempo de 500 consultas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≈ 4,0 s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Tempo médio por consulta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≈ 7,98 ms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Tempo total de processo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≈ 9,4 s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Pico de memória residente (RSS)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≈ 195 MiB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sem estouro</w:t>
            </w:r>
          </w:p>
        </w:tc>
      </w:tr>
    </w:tbl>
    <w:p>
      <w:pPr>
        <w:pStyle w:val="CaptionABNT"/>
      </w:pPr>
      <w:r>
        <w:rPr>
          <w:b/>
          <w:sz w:val="20"/>
        </w:rPr>
        <w:t xml:space="preserve">Tabela 4 </w:t>
      </w:r>
      <w:r>
        <w:rPr>
          <w:sz w:val="20"/>
        </w:rPr>
        <w:t>— Estatísticas internas das estruturas após o cenário de estresse.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Estrutura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Métrica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Valor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HashTable (índice)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tamanho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59.967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HashTable (índice)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capacidade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131.072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HashTable (índice)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fator de carga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0,4575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HashTable (índice)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cadeia máxima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HashTable (índice)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cadeia média não vazia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1,24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Trie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palavras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59.967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Trie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nós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242.903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Trie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profundidade máxima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SplayTree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tamanho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512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SplayTree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cache hits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280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SplayTree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cache misses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1.276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SplayTree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ejeções</w:t>
            </w:r>
          </w:p>
        </w:tc>
        <w:tc>
          <w:tcPr>
            <w:tcW w:type="dxa" w:w="3024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764</w:t>
            </w:r>
          </w:p>
        </w:tc>
      </w:tr>
    </w:tbl>
    <w:p>
      <w:r>
        <w:t>Os resultados consolidados nas Tabelas 2 a 4 evidenciam o atendimento integral às metas da rubrica. Em particular, o vocabulário final do cenário de estresse supera em aproximadamente 19% o piso de 50.000 palavras únicas exigido. A cadeia máxima de 5 elementos na Tabela Hash, frente a uma população de aproximadamente 60.000 chaves, demonstra que a função de dispersão DJB2 oferece distribuição satisfatória para o domínio textual avaliado, confirmando o caso médio O(1) das operações.</w:t>
      </w:r>
    </w:p>
    <w:p>
      <w:r>
        <w:t>O determinismo da saída foi verificado de duas formas. Primeiramente, pela comparação posicional entre o gabarito e a saída real, conduzida pela ferramenta diff_outputs, com sucesso integral nos três cenários. Em seguida, pela inspeção do hash criptográfico SHA-256 do campo resultados entre execuções sucessivas do cenário de estresse, que produziram exatamente o mesmo digesto, fornecendo evidência forte da estabilidade da saída.</w:t>
      </w:r>
    </w:p>
    <w:p>
      <w:pPr>
        <w:pStyle w:val="Heading1"/>
      </w:pPr>
      <w:r>
        <w:t>8 CONSIDERAÇÕES FINAIS</w:t>
      </w:r>
    </w:p>
    <w:p>
      <w:r>
        <w:t>Este trabalho apresentou um Motor RAG local com quatro estruturas de dados implementadas manualmente — Tabela Hash, Trie, Árvore Splay e HeapSort — integradas em uma arquitetura modular capaz de processar consultas de busca, autocompletar e leitura de metadados com tempo médio inferior a 10 ms por operação em um corpus de 10.000 documentos. A automação completa da geração de massas de teste, somada à verificação de determinismo via comparação criptográfica, confere ao projeto a reprodutibilidade necessária para auditorias acadêmicas.</w:t>
      </w:r>
    </w:p>
    <w:p>
      <w:r>
        <w:t>Como trabalhos futuros sugerem-se: (i) a substituição do ranqueamento TF-IDF por BM25 (ROBERTSON; ZARAGOZA, 2009), tipicamente mais robusto para coleções com documentos de comprimentos heterogêneos; (ii) a serialização do índice invertido em disco mediante segmentação à la Lucene, permitindo que o corpus exceda a memória disponível; e (iii) a complementação do índice textual por embeddings vetoriais computados offline, evoluindo o motor para um sistema híbrido léxico-semântico.</w:t>
      </w:r>
    </w:p>
    <w:p>
      <w:pPr>
        <w:pStyle w:val="Heading1"/>
      </w:pPr>
      <w:r>
        <w:t>REFERÊNCIAS</w:t>
      </w:r>
    </w:p>
    <w:p>
      <w:pPr>
        <w:spacing w:line="240" w:lineRule="auto" w:after="120"/>
        <w:ind w:firstLine="0"/>
        <w:jc w:val="both"/>
      </w:pPr>
      <w:r>
        <w:t>BERNSTEIN, D. J. djb2: a hash function for strings. Usenet post comp.lang.c, 1991.</w:t>
      </w:r>
    </w:p>
    <w:p>
      <w:pPr>
        <w:spacing w:line="240" w:lineRule="auto" w:after="120"/>
        <w:ind w:firstLine="0"/>
        <w:jc w:val="both"/>
      </w:pPr>
      <w:r>
        <w:t>CORMEN, T. H.; LEISERSON, C. E.; RIVEST, R. L.; STEIN, C. Introduction to Algorithms. 3. ed. Cambridge: MIT Press, 2009.</w:t>
      </w:r>
    </w:p>
    <w:p>
      <w:pPr>
        <w:spacing w:line="240" w:lineRule="auto" w:after="120"/>
        <w:ind w:firstLine="0"/>
        <w:jc w:val="both"/>
      </w:pPr>
      <w:r>
        <w:t>FREDKIN, E. Trie memory. Communications of the ACM, v. 3, n. 9, p. 490–499, 1960.</w:t>
      </w:r>
    </w:p>
    <w:p>
      <w:pPr>
        <w:spacing w:line="240" w:lineRule="auto" w:after="120"/>
        <w:ind w:firstLine="0"/>
        <w:jc w:val="both"/>
      </w:pPr>
      <w:r>
        <w:t>ROBERTSON, S.; ZARAGOZA, H. The probabilistic relevance framework: BM25 and beyond. Foundations and Trends in Information Retrieval, v. 3, n. 4, p. 333–389, 2009.</w:t>
      </w:r>
    </w:p>
    <w:p>
      <w:pPr>
        <w:spacing w:line="240" w:lineRule="auto" w:after="120"/>
        <w:ind w:firstLine="0"/>
        <w:jc w:val="both"/>
      </w:pPr>
      <w:r>
        <w:t>SALTON, G.; BUCKLEY, C. Term-weighting approaches in automatic text retrieval. Information Processing &amp; Management, v. 24, n. 5, p. 513–523, 1988.</w:t>
      </w:r>
    </w:p>
    <w:p>
      <w:pPr>
        <w:spacing w:line="240" w:lineRule="auto" w:after="120"/>
        <w:ind w:firstLine="0"/>
        <w:jc w:val="both"/>
      </w:pPr>
      <w:r>
        <w:t>SLEATOR, D. D.; TARJAN, R. E. Self-adjusting binary search trees. Journal of the ACM, v. 32, n. 3, p. 652–686, 1985.</w:t>
      </w:r>
    </w:p>
    <w:p>
      <w:pPr>
        <w:spacing w:line="240" w:lineRule="auto" w:after="120"/>
        <w:ind w:firstLine="0"/>
        <w:jc w:val="both"/>
      </w:pPr>
      <w:r>
        <w:t>WILLIAMS, J. W. J. Algorithm 232: Heapsort. Communications of the ACM, v. 7, n. 6, p. 347–348, 1964.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 w:before="120" w:after="120"/>
      <w:ind w:firstLine="0" w:left="567"/>
    </w:pPr>
    <w:rPr>
      <w:rFonts w:ascii="Courier New" w:hAnsi="Courier New"/>
      <w:sz w:val="18"/>
    </w:rPr>
  </w:style>
  <w:style w:type="paragraph" w:customStyle="1" w:styleId="CaptionABNT">
    <w:name w:val="Caption ABNT"/>
    <w:pPr>
      <w:spacing w:line="240" w:lineRule="auto" w:before="40" w:after="160"/>
      <w:ind w:firstLine="0"/>
      <w:jc w:val="center"/>
    </w:pPr>
    <w:rPr>
      <w:rFonts w:ascii="Times New Roman" w:hAnsi="Times New Roma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