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FLYWHEEL · ФАЗА 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UPL-бриф для консультации с юристом (Калифорния и Нью-Йорк)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19 августа 2026 · Подготовка к обязательной проверке перед первым платящим клиентом Волны 1</w:t>
      </w:r>
    </w:p>
    <w:p>
      <w:pPr>
        <w:pBdr>
          <w:left w:val="single" w:color="9B3B3B" w:sz="16" w:space="8"/>
        </w:pBdr>
        <w:shd w:fill="F5E9E9" w:val="clear"/>
        <w:spacing w:after="240" w:before="100" w:line="300"/>
        <w:ind w:left="100"/>
      </w:pPr>
      <w:r>
        <w:rPr>
          <w:rFonts w:ascii="Calibri" w:cs="Calibri" w:eastAsia="Calibri" w:hAnsi="Calibri"/>
          <w:b/>
          <w:bCs/>
          <w:color w:val="9B3B3B"/>
          <w:sz w:val="22"/>
          <w:szCs w:val="22"/>
        </w:rPr>
        <w:t xml:space="preserve">Это не юридическая консультация. Это подготовительный конспект по открытым источникам (законы, официальные разъяснения коллегий адвокатов, юридическая пресса), собранный, чтобы разговор с настоящим практикующим юристом занял меньше времени и стоил дешевле. Финальное решение о том, можно ли запускать продукт в CA/NY и в каком виде, принимает только юрист.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Зачем этот документ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UPL-проверка (unauthorized practice of law) по Калифорнии и Нью-Йорку зафиксирована во всех предыдущих документах проекта как блокер до первого платящего клиента в юридической нише. Ниже — то, что можно закрыть открытым поиском до звонка юристу: базовые нормы, что уже прямо запрещено, и что происходит прямо сейчас именно вокруг AI и chatbot-интейка в обеих юрисдикциях. Раздел 4 — открытые вопросы, которые нельзя закрыть поиском и которые стоит принести на саму консультацию.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Базовые нормы UPL — то, что уже закон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Калифорния — Business &amp; Professions Code §6125–6126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§6125: «Никто не вправе заниматься юридической практикой в Калифорнии, если не является действующим licensee штатной коллегии адвокатов» — распространяется и на тех, кто никогда не имел лицензии, и на юристов с приостановленной/аннулированной лицензией.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§6126 (санкции): для не-юристов — до 1 года окружной тюрьмы и/или штраф до $1,000 (misdemeanor). Для юристов с ранее действовавшей лицензией — от misdemeanor (до 6 мес.) до felony (16 мес. – 3 года + штраф до $10,000).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Ни сам §6125, ни §6126 явно не определяют, подпадают ли под «практику права» административный интейк, планирование встреч или сбор общей информации, выполняемые не-юристом или автоматизированным инструментом — это открытая зона, а не прописанное исключение.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Нью-Йорк — Judiciary Law §478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Запрещает «практиковать или выступать в качестве attorney-at-law» либо представляться вправе практиковать право без надлежащей лицензии и допуска к адвокатуре — включая использование титула юриста или рекламу юридической конторы.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Явные исключения касаются студентов-юристов под супервизией legal aid организаций, выпускников юрфаков под гос. супервизией, юристов pro hac vice и лицензированных legal consultants — статус AI-инструментов или не-юридического персонала для интейка отдельно не прописан.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Сам текст статьи не указывает конкретные санкции внутри раздела — правоприменение идёт через отдельные механизмы штата.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Общий вывод по разделу 2: ни один из двух базовых законов прямо не регулирует AI/chatbot-интейк — вопрос открытый, разрешается через толкование («это административная функция или уже практика права?»), а не через явную норму. Это ровно то, для чего нужна консультация, а не повод считать риск закрытым.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Что происходит именно вокруг AI прямо сейчас (2025–2026) — важно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Калифорния: State Bar выпустил этическое руководство по AI + 6 предложенных поправок к Rules of Professional Conduct (2026)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Это не отдельный «закон про AI», а обязанности самого юриста, использующего AI-инструменты (включая agentic AI для client intake) в своей практике — то есть то, что коснётся любого адвоката — design partner Flywheel, если он подпишется на продукт.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6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меняется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Rule 1.1 (Competence)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Юрист обязан лично проверять и подтверждать любой AI-вывод, используемый в работе с клиентом — без исключений для рутинных задач.</w:t>
            </w:r>
          </w:p>
        </w:tc>
      </w:tr>
      <w:tr>
        <w:tc>
          <w:tcPr>
            <w:tcW w:type="dxa" w:w="2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Rule 1.4 (Client Communication)</w:t>
            </w:r>
          </w:p>
        </w:tc>
        <w:tc>
          <w:tcPr>
            <w:tcW w:type="dxa" w:w="6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Раскрытие использования AI клиенту обязательно, если это «существенно влияет на объём, стоимость, порядок или процесс принятия решений» — не блокетное требование, рутинные применения могут не triggerить раскрытие.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Rule 1.6 (Confidentiality)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Понятие «раскрытия» конфиденциальной информации расширяется на передачу данных клиента в AI-системы, где есть материальный риск доступа/удержания/использования третьими лицами.</w:t>
            </w:r>
          </w:p>
        </w:tc>
      </w:tr>
      <w:tr>
        <w:tc>
          <w:tcPr>
            <w:tcW w:type="dxa" w:w="2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Rule 3.3 (Candor to Tribunals)</w:t>
            </w:r>
          </w:p>
        </w:tc>
        <w:tc>
          <w:tcPr>
            <w:tcW w:type="dxa" w:w="6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Юрист обязан проверять точность любых цитат/ссылок, включая сгенерированные или подготовленные при помощи AI, перед подачей в суд.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Rule 5.1 (Supervisory Lawyers)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Управляющие юристы обязаны установить процедуры, регулирующие использование AI в фирме.</w:t>
            </w:r>
          </w:p>
        </w:tc>
      </w:tr>
      <w:tr>
        <w:tc>
          <w:tcPr>
            <w:tcW w:type="dxa" w:w="2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Rule 5.3 (Nonlawyer Supervision)</w:t>
            </w:r>
          </w:p>
        </w:tc>
        <w:tc>
          <w:tcPr>
            <w:tcW w:type="dxa" w:w="64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Обязанности супервизии прямо распространяются на использование AI персоналом (параюристами, ассистентами) — по аналогии с супервизией не-юридического персонала.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Нью-Йорк: законопроект SB 7263 — прямая угроза именно для chatbot-провайдеров (ожидает принятия)</w:t>
      </w:r>
    </w:p>
    <w:p>
      <w:pPr>
        <w:pBdr>
          <w:left w:val="single" w:color="9B3B3B" w:sz="16" w:space="8"/>
        </w:pBdr>
        <w:shd w:fill="F5E9E9" w:val="clear"/>
        <w:spacing w:after="240" w:before="100" w:line="300"/>
        <w:ind w:left="100"/>
      </w:pPr>
      <w:r>
        <w:rPr>
          <w:rFonts w:ascii="Calibri" w:cs="Calibri" w:eastAsia="Calibri" w:hAnsi="Calibri"/>
          <w:b/>
          <w:bCs/>
          <w:color w:val="9B3B3B"/>
          <w:sz w:val="22"/>
          <w:szCs w:val="22"/>
        </w:rPr>
        <w:t xml:space="preserve">Это не действующий закон, а законопроект — но он нацелен именно на такие продукты, как Flywheel, и стоит отслеживать его статус отдельно, не как разовую проверку.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Запрещает владельцам («proprietors») AI-чатботов давать «substantive» ответы, представляющие собой unauthorized practice лицензируемых профессий, включая право.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Обязывает показывать «явное, заметное и легко читаемое» уведомление, что пользователь общается с AI, а не с человеком — причём ответственность **нельзя снять** одним лишь таким уведомлением (в отличие от подхода Flywheel сегодня, где AI-бейдж/дисклеймер — часть архитектуры комплаенса).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Ответственность возлагается на «proprietors» — тех, кто владеет/эксплуатирует/разворачивает чатбот; сторонние разработчики, только лицензирующие технологию, исключены. **Открытый вопрос: подпадает ли под «proprietor» юрфирма-клиент Flywheel, сам Flywheel как вендор, или оба** — формулировка неоднозначна, это прямой пункт для юриста (раздел 4).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Создаёт частное право на иск (private right of action) за умышленные нарушения — фактические убытки + разумные расходы на юристов — то есть правоприменение через гражданские иски, не только регулятора.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Статус: внесён в апреле 2025, прошёл Сенат штата, финально не принят на момент составления этого брифа.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Нью-Йорк: NYC Bar — практическое руководство для соло/малых фирм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AI-чатботы для клиентского интейка приравниваются к не-юридическому персоналу — требуют супервизии, обучения и человеческого контроля, чтобы не допустить автономной практики права AI-системой.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Раскрытие клиенту рекомендуется, когда использование AI не является рутинно понятным как стандартная практика — предлагается включать в engagement letter, особенно если это влияет на стратегию или биллинг.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Согласие клиента требуется, если через AI-систему будет проходить конфиденциальная информация.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Открытые вопросы — принести на саму консультацию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Это не решается веб-поиском — нужен ответ практикующего юриста именно по этим пунктам, с учётом реальной архитектуры продукта (детерминированный сценарий, AI не изобретает ответы, эскалация на человека, встроенный AI-дисклеймер).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4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Почему это важно именно сейчас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Попадает ли текущая архитектура Flywheel (детерминированный сценарий, отказ от юр.советов, эскалация на человека) под «практику права» по §6125 (CA) / §478 (NY), или это административный интейк — по аналогии с ресепшн-функцией?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Это ядро всего блокера — без ответа на этот вопрос нельзя оценить риск ни для одного design partner.</w:t>
            </w:r>
          </w:p>
        </w:tc>
      </w:tr>
      <w:tr>
        <w:tc>
          <w:tcPr>
            <w:tcW w:type="dxa" w:w="4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Если NY SB 7263 будет принят — кто окажется «proprietor» с ответственностью: юрфирма-подписчик или сам Flywheel как вендор? Нужно ли уже сейчас закладывать это в договор/ToS с клиентами?</w:t>
            </w:r>
          </w:p>
        </w:tc>
        <w:tc>
          <w:tcPr>
            <w:tcW w:type="dxa" w:w="48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Формулировка законопроекта сегодня неоднозначна между вендором и деплойером — дешевле решить в договоре заранее, чем разбираться постфактум.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Нужен ли design partner-юристам письменный внутренний AI-use policy до подключения продукта, с учётом предложенного расширения Rule 5.3 (CA)? Может ли Flywheel сам предоставить шаблон такой политики как часть онбординга?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Потенциально это не только риск, но и продуктовая возможность — готовый шаблон политики как часть онбординга снимает часть их же комплаенс-нагрузки и может стать доп. аргументом в питче.</w:t>
            </w:r>
          </w:p>
        </w:tc>
      </w:tr>
      <w:tr>
        <w:tc>
          <w:tcPr>
            <w:tcW w:type="dxa" w:w="4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Триггерит ли использование Flywheel обязанность юриста раскрывать это клиенту в engagement letter по Rule 1.4 (CA) — или AI-бейдж в самом чате уже закрывает это требование?</w:t>
            </w:r>
          </w:p>
        </w:tc>
        <w:tc>
          <w:tcPr>
            <w:tcW w:type="dxa" w:w="48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Разграничивает обязанность самого юриста перед своим клиентом от обязанности продукта — сейчас в проекте закрыта только вторая (виджет уже раскрывает, что это AI).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Какие условия по данным (retention, используются ли переписки для обучения моделей, список субпроцессоров) нужно зафиксировать письменно, чтобы design partner мог выполнить свою обязанность по Rule 1.6 (расширенная конфиденциальность)?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Без письменных гарантий юрист физически не может дать клиенту информированное согласие на передачу его данных в систему.</w:t>
            </w:r>
          </w:p>
        </w:tc>
      </w:tr>
      <w:tr>
        <w:tc>
          <w:tcPr>
            <w:tcW w:type="dxa" w:w="42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Есть ли разница в риске между Калифорнией и Нью-Йорком, которая должна повлиять на очерёдность запуска (например, начать с одного штата, если там риск ниже, пока SB 7263 не прояснится)?</w:t>
            </w:r>
          </w:p>
        </w:tc>
        <w:tc>
          <w:tcPr>
            <w:tcW w:type="dxa" w:w="48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Сейчас в GTM-плане оба штата стартуют одновременно — стоит явно спросить, оправдано ли это.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Как эффективно провести саму консультацию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Взять с собой этот документ + короткое живое демо продукта (виджет, AI-бейдж, эскалация) — юристу проще оценить реальную архитектуру, чем абстрактное описание.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Начать с вопроса №1 из раздела 4 — это определяет, нужна ли вообще полная проверка, или продукт по конструкции не подпадает под практику права.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Отдельно спросить про статус NY SB 7263 на момент разговора — законопроекты меняют статус быстро, эта часть брифа устареет быстрее остальных.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Зафиксировать письменный ответ (email/memo) по каждому пункту раздела 4 — это станет частью документации для design partners и, при необходимости, для будущего due diligence инвестора.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Источники</w:t>
      </w:r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wszlgo0niwj2265yvyxb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The State Bar of California — Artificial Intelligence resources</w:t>
        </w:r>
      </w:hyperlink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i2fcktq_yo6shdignye1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California State Bar Issues 2026 Ethics Guidance On AI Use In Legal Practice — Mondaq</w:t>
        </w:r>
      </w:hyperlink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tgu_foogozkstntmrilv4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California Bar Proposes Rule Requiring Lawyers to Verify Every AI Output — LawNext</w:t>
        </w:r>
      </w:hyperlink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r_de9oqggqud_rcomvy-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New York Bill Would Create Liability for Chatbot Proprietors Offering Professional Advice — Holland &amp; Knight</w:t>
        </w:r>
      </w:hyperlink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_wywjfjlroxbrmn2cclha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New York City Bar's AI Ethics Guidance: What Solo and Small Firm Attorneys Must Know — Clearbrief</w:t>
        </w:r>
      </w:hyperlink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tfq5b26-jpv7whurcgrze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California Business and Professions Code § 6125 — Shouse Law Group</w:t>
        </w:r>
      </w:hyperlink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uuvwn4vxzsh_vcysmpted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New York Judiciary Law § 478 — FindLaw</w:t>
        </w:r>
      </w:hyperlink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8pukqtx2aj6su9vxd0edc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ABA Model Rule 5.3 — Responsibilities Regarding Nonlawyer Assistance</w:t>
        </w:r>
      </w:hyperlink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szlgo0niwj2265yvyxbf" Type="http://schemas.openxmlformats.org/officeDocument/2006/relationships/hyperlink" Target="https://www.calbar.ca.gov/legal-professionals/ethics-compliance-practice-resources/ethics/ethics-technology-resources/artificial-intelligence" TargetMode="External"/><Relationship Id="rIdi2fcktq_yo6shdignye1g" Type="http://schemas.openxmlformats.org/officeDocument/2006/relationships/hyperlink" Target="https://www.mondaq.com/unitedstates/new-technology/1824118/california-state-bar-issues-2026-ethics-guidance-on-ai-use-in-legal-practice" TargetMode="External"/><Relationship Id="rIdtgu_foogozkstntmrilv4" Type="http://schemas.openxmlformats.org/officeDocument/2006/relationships/hyperlink" Target="https://www.lawnext.com/2026/05/california-bar-proposes-rule-requiring-lawyers-to-verify-every-ai-output-and-five-other-ai-focused-ethics-changes.html" TargetMode="External"/><Relationship Id="rIdr_de9oqggqud_rcomvy-m" Type="http://schemas.openxmlformats.org/officeDocument/2006/relationships/hyperlink" Target="https://www.hklaw.com/en/insights/publications/2026/03/new-york-bill-would-create-liability-for-chatbot-proprietors" TargetMode="External"/><Relationship Id="rId_wywjfjlroxbrmn2cclha" Type="http://schemas.openxmlformats.org/officeDocument/2006/relationships/hyperlink" Target="https://clearbrief.com/legal-ai-resources/new-york-city" TargetMode="External"/><Relationship Id="rIdtfq5b26-jpv7whurcgrze" Type="http://schemas.openxmlformats.org/officeDocument/2006/relationships/hyperlink" Target="https://www.shouselaw.com/ca/defense/business-professions-code/6125/" TargetMode="External"/><Relationship Id="rIduuvwn4vxzsh_vcysmpted" Type="http://schemas.openxmlformats.org/officeDocument/2006/relationships/hyperlink" Target="https://codes.findlaw.com/ny/judiciary-law/jud-sect-478/" TargetMode="External"/><Relationship Id="rId8pukqtx2aj6su9vxd0edc" Type="http://schemas.openxmlformats.org/officeDocument/2006/relationships/hyperlink" Target="https://www.americanbar.org/groups/professional_responsibility/publications/model_rules_of_professional_conduct/rule_5_3_responsibilities_regarding_nonlawyer_assistant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2026-08-19T07:34:51.947Z</dcterms:created>
  <dcterms:modified xsi:type="dcterms:W3CDTF">2026-08-19T07:34:51.947Z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