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B08D57"/>
          <w:sz w:val="22"/>
          <w:szCs w:val="22"/>
        </w:rPr>
        <w:t xml:space="preserve">FLYWHEEL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Стратегия продаж: путь к $50,000 MRR за 6 месяцев</w:t>
      </w:r>
    </w:p>
    <w:p>
      <w:pPr>
        <w:spacing w:after="40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Версия 2 — с учётом единого пакета готовности к запуску · 19 августа 2026 · Волна 1: юридическая ниша (США)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0. Главное за одну минуту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Цель $50,000/мес выручки через 6 месяцев зафиксирована в брифе продукта и там же прямо помечена как агрессивная — с рекомендованным промежуточным ориентиром 10–20 платящих пилотов ко 2-му месяцу (~$2–5K MRR). Эта стратегия не пересматривает цель, а показывает, что реально нужно, чтобы к ней подойти максимально близко за 6 месяцев.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Важная поправка к версии 1 этого документа: перевод биллинга и других систем в боевой режим — это не отдельная задача «на неделе 1», а последний шаг единого пакета готовности к запуску (продукт + юридическая проверка + контент/реклама/материалы). Продавать «на холодную», без готового контента и рекламных материалов, не имеет смысла — поэтому все системы (биллинг, доставка сообщений и т.д.) переходят в боевой режим синхронно, одним пакетом, в момент, когда весь пакет готов, а не раньше. Это раздел 7 (Фаза 0) — читать перед помесячным планом.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Если считать «в лоб» — только тариф Starter ($199/мес), только юридическая ниша, только текущий канал (founder-led outbound) — то $50K MRR означает 251 платящего клиента за 6 месяцев силами одного человека. Это нереалистично. Реальный путь к цели требует смешать тарифы и ниши/гео вместо ставки на одну $199-нишу (раздел 2) и добавить платные и партнёрские каналы поверх outbound начиная с 3-го месяца (раздел 5), поверх полностью закрытой Фазы 0.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1. Точка старта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Продукт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Flywheel (ребренд Atelier) — детерминированный AI-движок автоматизации приёма и квалификации лидов «от обращения до сделки», адаптируемый под любой бизнес без индивидуальной настройки под каждую компанию. Ключевое техническое УТП: AI не принимает решений и не изобретает ответы — он только переформулирует уже одобренный владельцем бизнеса контент внутри детерминированного сценария («Business DNA»). Это архитектурное ограничение на уровне кода, не промпт-инструкция — единственная точка сборки исходящих сообщений физически не может отправить то, чего нет в одобренном сценарии.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Self-serve SaaS: Starter $199/мес, Pro $499/мес, 7-дневный триал, карта привязывается сразу при регистрации. Полный цикл регистрация → онбординг → биллинг → вебхук → разблокировка дашборда подтверждён вживую на проде. Биллинг — Lemon Squeezy (Merchant of Record) — магазин пока в Test mode: реальные платежи ещё не принимаются. Перевод в боевой режим — часть Фазы 0 (раздел 7), не изолированный шаг.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Продукт прошёл функциональное тестирование под целевую аудиторию соло-юристов (9 из 9 сценариев — квалификация, отказ давать юр.совет, эскалации, защита от prompt injection) и широкое живое QA всех четырёх коммерческих путей (запись на консультацию, смета, прямой следующий шаг, ручная передача человеку). Найдены и устранены реальные продовые баги; несколько известных мелких дефектов остаются открытыми (раздел 7).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Ниша и география (уже подтверждены пользователем)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Волна 1 (мес. 1–3): соло-практики и малые юридические консультации — семейное право, personal injury, general practice. Старт — Калифорния и Нью-Йорк. Тариф в материалах — только Starter $199/мес; Pro сознательно не упоминается в аутриче Волны 1, так как мультиюристная функциональность ещё не построена.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Волна 1.5 (с мес. 3–4, по готовности продукта): малые фирмы на 2–10 юристов — станут доступны для продажи по Pro $499/мес после реализации мультистаффинга (P1).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Волна 2 (мес. 4–6+): финансовые/страховые советники — самый низкий churn среди проверенных ниш (19%), но самый медленный цикл продажи. Вход — через кейсы Волны 1 и тёплые интро от риелторов (3–5 партнёрств, референс-канал, не платящая ниша сама по себе).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География: США (старт) → Австралия и Канада (мес. 2–3, тот же язык, common law, сопоставимая экономика труда) → UK (то же окно) → Европа — держится до готовности встроенной AI-disclosure механики под EU AI Act Art. 50.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Конкуренты в узкой категории (legal intake AI)</w:t>
      </w:r>
    </w:p>
    <w:tbl>
      <w:tblPr>
        <w:tblW w:type="dxa" w:w="90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2800"/>
        <w:gridCol w:w="2000"/>
        <w:gridCol w:w="4200"/>
      </w:tblGrid>
      <w:tr>
        <w:trPr>
          <w:tblHeader/>
        </w:trPr>
        <w:tc>
          <w:tcPr>
            <w:tcW w:type="dxa" w:w="28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Конкурент</w:t>
            </w:r>
          </w:p>
        </w:tc>
        <w:tc>
          <w:tcPr>
            <w:tcW w:type="dxa" w:w="2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dxa" w:w="42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Позиционирование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SetSmart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$99/мес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DM-каналы, базовый интейк</w:t>
            </w:r>
          </w:p>
        </w:tc>
      </w:tr>
      <w:tr>
        <w:tc>
          <w:tcPr>
            <w:tcW w:type="dxa" w:w="28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Smith.ai</w:t>
            </w:r>
          </w:p>
        </w:tc>
        <w:tc>
          <w:tcPr>
            <w:tcW w:type="dxa" w:w="20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~$293/мес</w:t>
            </w:r>
          </w:p>
        </w:tc>
        <w:tc>
          <w:tcPr>
            <w:tcW w:type="dxa" w:w="42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Гибрид AI + живые операторы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LawDroid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кастомная настройка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Комплаенс настраивает интегратор</w:t>
            </w:r>
          </w:p>
        </w:tc>
      </w:tr>
      <w:tr>
        <w:tc>
          <w:tcPr>
            <w:tcW w:type="dxa" w:w="28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Apex Chat</w:t>
            </w:r>
          </w:p>
        </w:tc>
        <w:tc>
          <w:tcPr>
            <w:tcW w:type="dxa" w:w="20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по запросу</w:t>
            </w:r>
          </w:p>
        </w:tc>
        <w:tc>
          <w:tcPr>
            <w:tcW w:type="dxa" w:w="42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Доминирует в PI / mass-tort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Flywheel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$199 / $499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Комплаенс — архитектурная гарантия, не промпт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Rosie, AgentZap, My AI Front Desk и другие дешёвые AI-ресепшн ($29–299/мес) держат салоны/HVAC/медспа — юр.консультации сознательно выбраны как ниша именно потому, что она вне этой ценовой войны, а Smith.ai уже доказал готовность рынка платить $97–1170/мес за AI-интейк для юристов.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2. Математика цели: что реально означает $50K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Сценарий А (в лоб, один тариф, одна ниша): 251 клиент на Starter $199/мес силами одного founder-led outbound-канала за 6 месяцев. Нет ни одного внутреннего документа, который закладывал бы такой объём в один канал за такой срок — это нереалистично.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Сценарий B (блендед-микс — целевая конфигурация к концу 6-го месяца): комбинация тарифов, волн и географий вместо ставки на одну $199-нишу.</w:t>
      </w:r>
    </w:p>
    <w:tbl>
      <w:tblPr>
        <w:tblW w:type="dxa" w:w="90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3600"/>
        <w:gridCol w:w="2200"/>
        <w:gridCol w:w="1900"/>
        <w:gridCol w:w="1300"/>
      </w:tblGrid>
      <w:tr>
        <w:trPr>
          <w:tblHeader/>
        </w:trPr>
        <w:tc>
          <w:tcPr>
            <w:tcW w:type="dxa" w:w="36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Сегмент</w:t>
            </w:r>
          </w:p>
        </w:tc>
        <w:tc>
          <w:tcPr>
            <w:tcW w:type="dxa" w:w="22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Тариф</w:t>
            </w:r>
          </w:p>
        </w:tc>
        <w:tc>
          <w:tcPr>
            <w:tcW w:type="dxa" w:w="1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Клиентов к мес. 6</w:t>
            </w:r>
          </w:p>
        </w:tc>
        <w:tc>
          <w:tcPr>
            <w:tcW w:type="dxa" w:w="13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MRR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Юр. Волна 1, США (соло)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Starter $199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120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$23,880</w:t>
            </w:r>
          </w:p>
        </w:tc>
      </w:tr>
      <w:tr>
        <w:tc>
          <w:tcPr>
            <w:tcW w:type="dxa" w:w="36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Юр. фирмы 2–10 юристов (доступно с мес. 3–4)</w:t>
            </w:r>
          </w:p>
        </w:tc>
        <w:tc>
          <w:tcPr>
            <w:tcW w:type="dxa" w:w="22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 $499</w:t>
            </w:r>
          </w:p>
        </w:tc>
        <w:tc>
          <w:tcPr>
            <w:tcW w:type="dxa" w:w="19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3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$14,970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Финсоветники/страховые, Волна 2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Starter/Pro микс, ~$300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25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$7,500</w:t>
            </w:r>
          </w:p>
        </w:tc>
      </w:tr>
      <w:tr>
        <w:tc>
          <w:tcPr>
            <w:tcW w:type="dxa" w:w="36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Международные (AU/UK/CA)</w:t>
            </w:r>
          </w:p>
        </w:tc>
        <w:tc>
          <w:tcPr>
            <w:tcW w:type="dxa" w:w="22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микс, ~$250</w:t>
            </w:r>
          </w:p>
        </w:tc>
        <w:tc>
          <w:tcPr>
            <w:tcW w:type="dxa" w:w="19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3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$3,750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190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$50,100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Даже блендед-путь требует около 190 платящих клиентов за 6 месяцев — по-прежнему агрессивно для одного основателя без найма, но реалистичнее и опирается на несколько независимых источников роста вместо одного. Ключевой вывод: рост тарифа Pro и запуск Волны 2 не «приятный бонус», а необходимое условие математики — без них цель физически не достижима на одной юридической соло-нише.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3. ICP и очерёдность волн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Портрет клиента Волны 1: соло-практик или консультация из 1 юриста, семейное право / personal injury / general practice, Калифорния или Нью-Йорк, самостоятельно принимает решение о покупке (fit для self-serve), уже теряет лидов на голосовой почте и пропущенных звонках, не может позволить себе штатного intake specialist за $55–80К/год.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Портрет Волны 1.5: юрфирма на 2–10 юристов, нужна маршрутизация эскалаций по практике/юристу — недоступна до реализации Pro-функциональности.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Портрет Волны 2: независимый финансовый или страховой советник, попадает в воронку через тёплое интро от риелтора-партнёра или через прямой кейс юридической ниши («это уже работает у юристов — вот как это работает у вас»).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Референс-канал: 3–5 партнёрств с риелторскими конторами — это не платящая ниша сама по себе (у мелких риелторских контор churn 50–90%+/год, цикл продажи 6–12 мес — под вопросом как самостоятельная ниша), а именно мост к Волне 2.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4. Тарифы и упаковка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Цену $199/$499 не менять на этом этапе — она уже откалибрована рынком (AI SDR-аналоги продаются в том же диапазоне за другую функцию) и не требует region-pricing/PPP на текущих рынках (США, Австралия, Канада, UK — развитые экономики).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Ускорить реализацию Pro (мультистаффинг, P1) до мес. 3, а не оставлять как «цифру в прайсинге» — это прямая зависимость математики раздела 2: 30 клиентов на Pro дают почти столько же MRR, сколько 75 клиентов на Starter.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Добавить опцию годовой предоплаты (например, 2 месяца в подарок) — не ускоряет MRR напрямую, но снижает риск churn на старте и даёт кэш раньше; вводить только после запуска (раздел 7).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Не вводить реферальную комиссию для риелторов — статус моста (не платящая ниша) уже осознанно выбран и работает через личные интро, не через формальную партнёрскую программу.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5. Каналы и sales-motion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Месяцы 1–2 после запуска: founder-led outbound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LinkedIn + персонализированные email, ~50 отобранных аккаунтов, 10–15 касаний в день — на финальных, а не черновых материалах (см. Фазу 0). Цель первого месяца — не объём, а первые 3–5 design-partner клиентов и обкатка питча на реальных ответах. Этого объёма мало для $50K к 6-му месяцу — он предназначен для валидации, не для масштаба.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Месяцы 2–3: расширение throughput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Найм SDR/BDR — единственный способ поднять объём outbound с 50 до 150–200 аккаунтов в неделю без потери качества персонализации. Ключевое предположение агрессивного сценария: без найма throughput остаётся потолком одного человека.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Listing на Clio marketplace + активация уже построенного Clio-вебхука — канал discovery именно там, где ищут инструменты юр.фирмы на practice-management софте.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Первые кейсы от design-partner клиентов Волны 1 — конкретные цифры (сколько лидов поймано, сколько записей создано) сильнее общих цифр рынка в аутриче.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Месяцы 3–4: платные каналы + Волна 2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LinkedIn Ads + Google Search по intent-запросам («legal intake AI», «law firm chatbot», «lead qualification for lawyers») — на креативах, подготовленных заранее в Фазе 0, не создаваемых в моменте. Бюджет стартует с $1–2К/мес, масштабируется только если CAC окупается в пределах 3 месяцев ARPU.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Запуск Волны 2 (финсоветники) через уже собранные интро от риелторов и переиспользование того же продукта/позиционирования с адаптированным месседжингом.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Гео-расширение AU/Канада/UK — тот же outbound-канал, без нового канала, с локализованным месседжингом (для UK — «не теряем лидов», не «дешевле сотрудника», труд там дешевле).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Месяцы 4–6: партнёрства и compounding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Реферальная программа для уже платящих design-partner клиентов — интро внутри профессиональных сообществ (местные бар-ассоциации, юр.тех-вебинары) — дешёвый высокодоверительный канал для мелких юрфирм.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Content/PR на базе накопленных кейсов — сравнение с Smith.ai/LawDroid на лендинге, живые цифры конверсии вместо только рыночных данных.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6. Продажная воронка и ожидаемые конверсии</w:t>
      </w:r>
    </w:p>
    <w:tbl>
      <w:tblPr>
        <w:tblW w:type="dxa" w:w="90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3000"/>
        <w:gridCol w:w="3800"/>
        <w:gridCol w:w="2200"/>
      </w:tblGrid>
      <w:tr>
        <w:trPr>
          <w:tblHeader/>
        </w:trPr>
        <w:tc>
          <w:tcPr>
            <w:tcW w:type="dxa" w:w="3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Этап</w:t>
            </w:r>
          </w:p>
        </w:tc>
        <w:tc>
          <w:tcPr>
            <w:tcW w:type="dxa" w:w="38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Определение</w:t>
            </w:r>
          </w:p>
        </w:tc>
        <w:tc>
          <w:tcPr>
            <w:tcW w:type="dxa" w:w="22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Ожидаемая конверсия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Касание → ответ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Cold LinkedIn/email touch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8–12%</w:t>
            </w:r>
          </w:p>
        </w:tc>
      </w:tr>
      <w:tr>
        <w:tc>
          <w:tcPr>
            <w:tcW w:type="dxa" w:w="30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Ответ → звонок</w:t>
            </w:r>
          </w:p>
        </w:tc>
        <w:tc>
          <w:tcPr>
            <w:tcW w:type="dxa" w:w="38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15–20 мин discovery/демо</w:t>
            </w:r>
          </w:p>
        </w:tc>
        <w:tc>
          <w:tcPr>
            <w:tcW w:type="dxa" w:w="22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30–40%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Звонок → старт триала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Карта привязана, онбординг начат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50–60%</w:t>
            </w:r>
          </w:p>
        </w:tc>
      </w:tr>
      <w:tr>
        <w:tc>
          <w:tcPr>
            <w:tcW w:type="dxa" w:w="30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Триал → оплата</w:t>
            </w:r>
          </w:p>
        </w:tc>
        <w:tc>
          <w:tcPr>
            <w:tcW w:type="dxa" w:w="38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 дней, self-serve + founder assist</w:t>
            </w:r>
          </w:p>
        </w:tc>
        <w:tc>
          <w:tcPr>
            <w:tcW w:type="dxa" w:w="22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25–35%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Первые 1–2 месяца после запуска: каждый триал сопровождается founder-led демо-звонком (доверие в регулируемой нише строится через живой разговор, не только через self-serve). С ростом соц.доказательств (кейсы, отзывы) доля чисто self-serve триалов без звонка должна расти — это снижает нагрузку на одного человека и позволяет каналам с платным трафиком (раздел 5) окупаться без пропорционального роста ручных встреч.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7. Фаза 0 — единый пакет готовности к запуску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Это прямой ответ на главную поправку к плану: биллинг переводится в боевой режим не изолированно и не в первую неделю ради самого факта, а как последний шаг одного пакета, который закрывается целиком. Пока любая часть пакета не готова — ни одно реальное касание клиенту не уходит, и ни одна система не переключается в боевой режим. Помесячный отсчёт в разделе 8 начинается по факту завершения этой фазы, а не с сегодняшнего дня.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Продукт — что должно быть закрыто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Юридическая проверка UPL (unauthorized practice of law) по Калифорнии и Нью-Йорку у практикующего юриста — без неё нельзя продавать в юр.нише вообще, это не техническая, а юридическая готовность.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Реальная доставка SMS и/или email — сегодня работает только веб-виджет и ручные ответы сотрудников. Для ниши, где часть лидов привыкла звонить или писать SMS, а не открывать чат-виджет (особенно рефералы от риелторов), это прямое ограничение конверсии — нужен минимум MVP одного из каналов до запуска, не после.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Известные баги устранены: слоты записи в UTC вместо часового пояса бизнеса у ранних аккаунтов (нужно разовое пересохранение Settings — код уже исправлен), тупиковое состояние LOST при опечатке в индексе.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Зафиксирован срок Pro-тарифа (мультистаффинг) — даже если сам Pro не готов к дню запуска, дата должна быть решена, так как от неё зависит математика раздела 2.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Контент и материалы — что должно быть готово (не черновики)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Лендинг — финальная версия текста и дизайна (сейчас черновик flywheel-landing-legal.html, ждёт правки).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LinkedIn- и email-аутрич — доведены до финальной, отправляемой версии (сейчас черновики: 2 варианта заявки, follow-up, 3 темы cold email).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Минимум один набор рекламных креативов под платные каналы — готовится заранее, даже притом что сами платные каналы стартуют только в мес. 3, чтобы не терять на них время в моменте.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Sales-материал для founder-led звонков: короткий one-pager/демо-скрипт, сведённый список типовых возражений с ответами (черновик «это точно легально?» уже есть в аутрич-материалах, но нужен цельный набор, не один пункт).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Шаблон под будущие кейсы/отзывы — структура, куда лягут цифры первых design partners, готовится заранее, до того как появятся сами цифры.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Инфраструктура — переключение в боевой режим (последний шаг, не первый)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Lemon Squeezy → live mode.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Канал SMS/email (если реализован к моменту запуска) → боевые ключи провайдера.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Финальный сквозной прогон всего цикла в боевом режиме (не тестовыми картами) непосредственно перед первым реальным касанием клиента.</w:t>
      </w:r>
    </w:p>
    <w:p>
      <w:pPr>
        <w:spacing w:after="200" w:before="100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Ориентировочный срок Фазы 0 — 2–4 недели, в зависимости от того, сколько из перечисленного уже частично готово (черновики лендинга и аутрич-материалов уже есть — это экономит время). Месяц 1 в разделе 8 ниже уже закладывает мягкий старт (5 клиентов) — это и есть встроенное время на то, чтобы Фаза 0 донеслась до конца, а не отдельный сдвиг всего плана.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8. Помесячный план (отсчёт — от завершения Фазы 0)</w:t>
      </w:r>
    </w:p>
    <w:tbl>
      <w:tblPr>
        <w:tblW w:type="dxa" w:w="99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0"/>
        <w:gridCol w:w="2000"/>
        <w:gridCol w:w="1900"/>
        <w:gridCol w:w="1700"/>
        <w:gridCol w:w="3300"/>
      </w:tblGrid>
      <w:tr>
        <w:trPr>
          <w:tblHeader/>
        </w:trPr>
        <w:tc>
          <w:tcPr>
            <w:tcW w:type="dxa" w:w="1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Месяц</w:t>
            </w:r>
          </w:p>
        </w:tc>
        <w:tc>
          <w:tcPr>
            <w:tcW w:type="dxa" w:w="20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Новых клиентов</w:t>
            </w:r>
          </w:p>
        </w:tc>
        <w:tc>
          <w:tcPr>
            <w:tcW w:type="dxa" w:w="1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Всего клиентов</w:t>
            </w:r>
          </w:p>
        </w:tc>
        <w:tc>
          <w:tcPr>
            <w:tcW w:type="dxa" w:w="17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MRR</w:t>
            </w:r>
          </w:p>
        </w:tc>
        <w:tc>
          <w:tcPr>
            <w:tcW w:type="dxa" w:w="33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Ключевые действия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~$1,000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Фаза 0 закрыта, боевой режим включён синхронно, первые design partners</w:t>
            </w:r>
          </w:p>
        </w:tc>
      </w:tr>
      <w:tr>
        <w:tc>
          <w:tcPr>
            <w:tcW w:type="dxa" w:w="10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9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7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~$3,000</w:t>
            </w:r>
          </w:p>
        </w:tc>
        <w:tc>
          <w:tcPr>
            <w:tcW w:type="dxa" w:w="33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Первые кейсы, найм SDR запущен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~$8,000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Pro-тариф, Clio marketplace, AU/UK старт</w:t>
            </w:r>
          </w:p>
        </w:tc>
      </w:tr>
      <w:tr>
        <w:tc>
          <w:tcPr>
            <w:tcW w:type="dxa" w:w="10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type="dxa" w:w="19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70</w:t>
            </w:r>
          </w:p>
        </w:tc>
        <w:tc>
          <w:tcPr>
            <w:tcW w:type="dxa" w:w="17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~$18,000</w:t>
            </w:r>
          </w:p>
        </w:tc>
        <w:tc>
          <w:tcPr>
            <w:tcW w:type="dxa" w:w="33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Волна 2, платные каналы (на готовых креативах), реферальная программа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60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130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~$36,000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Compounding рефералов и партнёрств</w:t>
            </w:r>
          </w:p>
        </w:tc>
      </w:tr>
      <w:tr>
        <w:tc>
          <w:tcPr>
            <w:tcW w:type="dxa" w:w="10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60</w:t>
            </w:r>
          </w:p>
        </w:tc>
        <w:tc>
          <w:tcPr>
            <w:tcW w:type="dxa" w:w="19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190</w:t>
            </w:r>
          </w:p>
        </w:tc>
        <w:tc>
          <w:tcPr>
            <w:tcW w:type="dxa" w:w="17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~$50,000</w:t>
            </w:r>
          </w:p>
        </w:tc>
        <w:tc>
          <w:tcPr>
            <w:tcW w:type="dxa" w:w="33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Целевая конфигурация раздела 2 достигнута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Ориентир мес. 2 (~$3K MRR, 15 клиентов) совпадает с уже существующей внутренней рекомендацией «10–20 пилотов ко 2-му месяцу» — это не новая цифра, а точка сверки, что план идёт по плану. Рост мес. 3→6 предполагает, что найм и платные каналы запущены вовремя — это не гарантированный, а целевой темп.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9. Риски и меры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HubSpot Breeze AI — прямая угроза SMB-сегменту (встроен в уже используемую CRM, от $20/место/мес). Мера: держать позиционирование на архитектурной гарантии комплаенса — это то, что промпт-надстройка над чужой CRM физически не может гарантировать так же.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Регуляторный риск в целом закрыт технически (disclosure by default для California SB 243, New York Article 47, EU AI Act Art. 50), но список требований по штатам растёт (Колорадо — с 30 июня 2026) — держать в поле зрения, не разовая проверка.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Retention юридической соло-ниши пока не задокументирован эмпирически (в отличие от риелторов и финсоветников, где churn уже измерен по внешним источникам) — собирать данные с первых 10–15 клиентов как приоритет, а не полагаться на аналогии.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Throughput одного основателя — жёсткий потолок агрессивного сценария. Если найм SDR/BDR не состоится к мес. 2–3 или платный бюджет не появится к мес. 3–4, реалистичный результат 6 месяцев — $10–15K MRR (60–75 клиентов) на одном outbound-канале в юридической нише, а не $50K. Это не провал плана, а его консервативная нижняя граница — стоит явно решить заранее, какой из двух сценариев планируется финансировать.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Calibri" w:cs="Calibri" w:eastAsia="Calibri" w:hAnsi="Calibri"/>
          <w:sz w:val="22"/>
          <w:szCs w:val="22"/>
        </w:rPr>
        <w:t xml:space="preserve">Затянутая Фаза 0 сдвигает весь план вправо один в один — если готовность растянется дольше 4 недель, месяц 1 в разделе 8 нужно пересчитать от новой даты запуска, а не пытаться нагнать отставание за счёт более агрессивных цифр в следующих месяцах.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3A5F"/>
          <w:sz w:val="30"/>
          <w:szCs w:val="30"/>
        </w:rPr>
        <w:t xml:space="preserve">10. Метрики для еженедельного трекинга</w:t>
      </w:r>
    </w:p>
    <w:tbl>
      <w:tblPr>
        <w:tblW w:type="dxa" w:w="90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  <w:tc>
          <w:tcPr>
            <w:tcW w:type="dxa" w:w="66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Метрики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Outbound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Контактов/нед, reply rate, забронировано звонков</w:t>
            </w:r>
          </w:p>
        </w:tc>
      </w:tr>
      <w:tr>
        <w:tc>
          <w:tcPr>
            <w:tcW w:type="dxa" w:w="24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Воронка</w:t>
            </w:r>
          </w:p>
        </w:tc>
        <w:tc>
          <w:tcPr>
            <w:tcW w:type="dxa" w:w="66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Триалов запущено, конверсия триал→оплата, время до конверсии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Выручка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MRR, новых логотипов, churn, ARPU</w:t>
            </w:r>
          </w:p>
        </w:tc>
      </w:tr>
      <w:tr>
        <w:tc>
          <w:tcPr>
            <w:tcW w:type="dxa" w:w="24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Каналы</w:t>
            </w:r>
          </w:p>
        </w:tc>
        <w:tc>
          <w:tcPr>
            <w:tcW w:type="dxa" w:w="6600"/>
            <w:shd w:fill="F2EFE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CAC по каналу, referral count, payback period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Продукт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Activation rate (% триалов с настроенным виджетом/booking), % лидов, дошедших до записи/сметы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Документ синтезирует данные из marketing-brief, niche-strategy-recommendation, gtm-legal-vertical, process-cost-risks-usp-summary, technical-strategy-usp-and-tiers, legal-vertical-product-plan, status-and-gtm-plan, ux-audit-widget-dashboard и booking-milestone-and-research. Полная версия каждого документа — в проекте.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–"/>
      <w:lvlJc w:val="left"/>
      <w:pPr>
        <w:ind w:left="8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2026-08-19T04:54:02.090Z</dcterms:created>
  <dcterms:modified xsi:type="dcterms:W3CDTF">2026-08-19T04:54:02.090Z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