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color w:val="000000"/>
          <w:sz w:val="44"/>
        </w:rPr>
        <w:t>Contraste del plan de estudios de Gestión Aplicada</w:t>
      </w:r>
    </w:p>
    <w:p>
      <w:pPr>
        <w:pStyle w:val="Subtitle"/>
        <w:keepNext/>
        <w:spacing w:after="40"/>
      </w:pPr>
      <w:r>
        <w:rPr>
          <w:color w:val="000000"/>
          <w:sz w:val="22"/>
        </w:rPr>
        <w:t>Informe para revisión por los responsables del título</w:t>
      </w:r>
    </w:p>
    <w:p>
      <w:pPr>
        <w:spacing w:after="160"/>
      </w:pPr>
      <w:r>
        <w:t>Actualización del 2 de octubre de 2026 con el anexo vigente</w:t>
      </w:r>
    </w:p>
    <w:p>
      <w:r>
        <w:t>La revisión toma como referencia canónica el Verifica vigente del título, ID 2503801, de 26 de marzo de 2026. El anexo 4.1 recibido permite completar los 48 pares de ponderaciones del JSON. Se mantienen las incidencias detectadas en las cabeceras web y en la matriz de competencias, y se señalan aspectos del propio anexo que requieren aclaración.</w:t>
      </w:r>
    </w:p>
    <w:p>
      <w:pPr>
        <w:spacing w:after="0"/>
      </w:pPr>
    </w:p>
    <w:p>
      <w:pPr>
        <w:pStyle w:val="Heading1"/>
        <w:keepNext/>
        <w:spacing w:before="140" w:after="80"/>
      </w:pPr>
      <w:r>
        <w:rPr>
          <w:rFonts w:ascii="Arial" w:hAnsi="Arial" w:eastAsia="Arial"/>
          <w:b/>
          <w:color w:val="000000"/>
          <w:sz w:val="28"/>
        </w:rPr>
        <w:t>Discrepancia en los créditos de los módulos</w:t>
      </w:r>
    </w:p>
    <w:p>
      <w:pPr>
        <w:spacing w:after="80" w:line="250" w:lineRule="auto"/>
      </w:pPr>
      <w:r>
        <w:rPr>
          <w:rFonts w:ascii="Arial" w:hAnsi="Arial" w:eastAsia="Arial"/>
          <w:b w:val="0"/>
          <w:color w:val="52606D"/>
          <w:sz w:val="18"/>
        </w:rPr>
        <w:t>La cabecera de la web asigna 111 ECTS al Módulo I y 81 al Módulo II. La memoria vigente asigna 108 y 84, respectivamente; el desglose de asignaturas de la propia web suma 108 y 84. Ambos repartos mantienen el total del grado en 240 ECTS.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843"/>
        <w:gridCol w:w="1843"/>
        <w:gridCol w:w="1843"/>
        <w:gridCol w:w="1843"/>
      </w:tblGrid>
      <w:tr>
        <w:trPr>
          <w:tblHeader/>
        </w:trPr>
        <w:tc>
          <w:tcPr>
            <w:tcW w:type="dxa" w:w="2268"/>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Módulo</w:t>
            </w:r>
          </w:p>
        </w:tc>
        <w:tc>
          <w:tcPr>
            <w:tcW w:type="dxa" w:w="1843"/>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Verifica</w:t>
            </w:r>
          </w:p>
        </w:tc>
        <w:tc>
          <w:tcPr>
            <w:tcW w:type="dxa" w:w="1843"/>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Cabecera web</w:t>
            </w:r>
          </w:p>
        </w:tc>
        <w:tc>
          <w:tcPr>
            <w:tcW w:type="dxa" w:w="1843"/>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Detalle web</w:t>
            </w:r>
          </w:p>
        </w:tc>
        <w:tc>
          <w:tcPr>
            <w:tcW w:type="dxa" w:w="1843"/>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JSON</w:t>
            </w:r>
          </w:p>
        </w:tc>
      </w:tr>
      <w:tr>
        <w:tc>
          <w:tcPr>
            <w:tcW w:type="dxa" w:w="2268"/>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I. Empresa</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108 ECTS (p. 9)</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111 ECTS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108 ECTS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108 ECTS</w:t>
            </w:r>
          </w:p>
        </w:tc>
      </w:tr>
      <w:tr>
        <w:tc>
          <w:tcPr>
            <w:tcW w:type="dxa" w:w="2268"/>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II. Comunicación e Idiomas Modernos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84 ECTS (p. 13)</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81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84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84 ECTS</w:t>
            </w:r>
          </w:p>
        </w:tc>
      </w:tr>
      <w:tr>
        <w:tc>
          <w:tcPr>
            <w:tcW w:type="dxa" w:w="2268"/>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III. Optativas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 ECTS (p. 15)</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 ECTS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 ECTS (a elegir)</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 ECTS</w:t>
            </w:r>
          </w:p>
        </w:tc>
      </w:tr>
      <w:tr>
        <w:tc>
          <w:tcPr>
            <w:tcW w:type="dxa" w:w="2268"/>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IV. Trabajo Fin de Grado</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6 ECTS (p. 16)</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6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6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6 ECTS</w:t>
            </w:r>
          </w:p>
        </w:tc>
      </w:tr>
      <w:tr>
        <w:tc>
          <w:tcPr>
            <w:tcW w:type="dxa" w:w="2268"/>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V. Core Curriculum</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18 ECTS (p. 17)</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18 ECTS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18 ECTS</w:t>
            </w:r>
          </w:p>
        </w:tc>
        <w:tc>
          <w:tcPr>
            <w:tcW w:type="dxa" w:w="1843"/>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18 ECTS</w:t>
            </w:r>
          </w:p>
        </w:tc>
      </w:tr>
      <w:tr>
        <w:tc>
          <w:tcPr>
            <w:tcW w:type="dxa" w:w="2268"/>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TOTAL</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240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240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240 ECTS</w:t>
            </w:r>
          </w:p>
        </w:tc>
        <w:tc>
          <w:tcPr>
            <w:tcW w:type="dxa" w:w="1843"/>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240 ECTS</w:t>
            </w:r>
          </w:p>
        </w:tc>
      </w:tr>
    </w:tbl>
    <w:p>
      <w:pPr>
        <w:pStyle w:val="Heading1"/>
        <w:keepNext/>
        <w:spacing w:before="140" w:after="80"/>
      </w:pPr>
      <w:r>
        <w:rPr>
          <w:rFonts w:ascii="Arial" w:hAnsi="Arial" w:eastAsia="Arial"/>
          <w:b/>
          <w:color w:val="000000"/>
          <w:sz w:val="28"/>
        </w:rPr>
        <w:t>Comprobación de la secuenciación</w:t>
      </w:r>
    </w:p>
    <w:p>
      <w:pPr>
        <w:spacing w:after="80" w:line="250" w:lineRule="auto"/>
      </w:pPr>
      <w:r>
        <w:t>Los ECTS de las asignaturas de la web y del JSON coinciden con la distribución temporal por materia del Verifica y del anexo 4.1. También coinciden las siete asignaturas básicas que el anexo enumera con nombre, carácter, curso y semestre. La correspondencia del anexo se acredita por el CSV 966597729780096717618167, idéntico al citado en la p. 23 del PDF principal.</w:t>
      </w:r>
      <w:r>
        <w:t xml:space="preserve"> La huella SHA1 del archivo recibido también coincide exactamente con la de esa referencia: F00CDD1150B936309A60B116371F6FFA4196E455.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3345"/>
      </w:tblGrid>
      <w:tr>
        <w:trPr>
          <w:tblHeader/>
        </w:trPr>
        <w:tc>
          <w:tcPr>
            <w:tcW w:type="dxa" w:w="2041"/>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Bloque</w:t>
            </w:r>
          </w:p>
        </w:tc>
        <w:tc>
          <w:tcPr>
            <w:tcW w:type="dxa" w:w="4252"/>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Resultado del contraste</w:t>
            </w:r>
          </w:p>
        </w:tc>
        <w:tc>
          <w:tcPr>
            <w:tcW w:type="dxa" w:w="3345"/>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Matiz documental</w:t>
            </w:r>
          </w:p>
        </w:tc>
      </w:tr>
      <w:tr>
        <w:tc>
          <w:tcPr>
            <w:tcW w:type="dxa" w:w="2041"/>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Empresa y Contabilidad/Finanzas</w:t>
            </w:r>
          </w:p>
        </w:tc>
        <w:tc>
          <w:tcPr>
            <w:tcW w:type="dxa" w:w="4252"/>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Los ECTS web/JSON por semestre coinciden con los repartos temporales de las materias en las pp. 10-12.</w:t>
            </w:r>
          </w:p>
        </w:tc>
        <w:tc>
          <w:tcPr>
            <w:tcW w:type="dxa" w:w="3345"/>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line="252" w:lineRule="auto"/>
            </w:pPr>
            <w:r>
              <w:rPr>
                <w:rFonts w:ascii="Calibri" w:hAnsi="Calibri"/>
                <w:color w:val="000000"/>
                <w:sz w:val="19"/>
              </w:rPr>
              <w:t>El anexo confirma las asignaturas básicas de Gestión Empresarial 1 y 2 y Contabilidad y Finanzas 1 (pp. 6 y 11). Las restantes no se enumeran individualmente.</w:t>
            </w:r>
          </w:p>
        </w:tc>
      </w:tr>
      <w:tr>
        <w:tc>
          <w:tcPr>
            <w:tcW w:type="dxa" w:w="2041"/>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Comunicación e idiomas</w:t>
            </w:r>
          </w:p>
        </w:tc>
        <w:tc>
          <w:tcPr>
            <w:tcW w:type="dxa" w:w="4252"/>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La secuencia y los ECTS por semestre coinciden con las pp. 13-15.</w:t>
            </w:r>
          </w:p>
        </w:tc>
        <w:tc>
          <w:tcPr>
            <w:tcW w:type="dxa" w:w="3345"/>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line="252" w:lineRule="auto"/>
            </w:pPr>
            <w:r>
              <w:rPr>
                <w:rFonts w:ascii="Calibri" w:hAnsi="Calibri"/>
                <w:color w:val="000000"/>
                <w:sz w:val="19"/>
              </w:rPr>
              <w:t>El anexo confirma Comunicación Empresarial 1 y 2 (p. 14) y Segundo y Tercer Idioma Moderno 1 como anuales (p. 16). El reparto por materia es compatible.</w:t>
            </w:r>
          </w:p>
        </w:tc>
      </w:tr>
      <w:tr>
        <w:tc>
          <w:tcPr>
            <w:tcW w:type="dxa" w:w="2041"/>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Derecho</w:t>
            </w:r>
          </w:p>
        </w:tc>
        <w:tc>
          <w:tcPr>
            <w:tcW w:type="dxa" w:w="4252"/>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6 ECTS en el semestre 6 y 6 en el 7, igual que web y JSON.</w:t>
            </w:r>
          </w:p>
        </w:tc>
        <w:tc>
          <w:tcPr>
            <w:tcW w:type="dxa" w:w="3345"/>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line="252" w:lineRule="auto"/>
            </w:pPr>
            <w:r>
              <w:rPr>
                <w:rFonts w:ascii="Calibri" w:hAnsi="Calibri"/>
                <w:color w:val="000000"/>
                <w:sz w:val="19"/>
              </w:rPr>
              <w:t>El anexo confirma 6 ECTS en el semestre 6 y 6 en el 7 (p. 9), pero no enumera Derecho 1 y 2; sus nombres proceden de la web.</w:t>
            </w:r>
          </w:p>
        </w:tc>
      </w:tr>
      <w:tr>
        <w:tc>
          <w:tcPr>
            <w:tcW w:type="dxa" w:w="2041"/>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Optativas, TFG y Core</w:t>
            </w:r>
          </w:p>
        </w:tc>
        <w:tc>
          <w:tcPr>
            <w:tcW w:type="dxa" w:w="4252"/>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Opciones optativas (24 ECTS) y TFG (6 ECTS) en semestre 8; Core coincide en su reparto temporal.</w:t>
            </w:r>
          </w:p>
        </w:tc>
        <w:tc>
          <w:tcPr>
            <w:tcW w:type="dxa" w:w="3345"/>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line="252" w:lineRule="auto"/>
            </w:pPr>
            <w:r>
              <w:rPr>
                <w:rFonts w:ascii="Calibri" w:hAnsi="Calibri"/>
                <w:color w:val="000000"/>
                <w:sz w:val="19"/>
              </w:rPr>
              <w:t>El anexo confirma los repartos de estas materias (pp. 18–24). Formación Complementaria incluye intercambio y también optativos de la propia Universidad sin una oferta individualizada.</w:t>
            </w:r>
          </w:p>
        </w:tc>
      </w:tr>
    </w:tbl>
    <w:p>
      <w:pPr>
        <w:spacing w:after="0" w:line="250" w:lineRule="auto"/>
      </w:pPr>
      <w:r>
        <w:t>El anexo tampoco enumera todas las asignaturas concretas. Los nombres restantes del JSON proceden de la web y son compatibles con los repartos temporales canónicos. Debe confirmarse con los responsables el detalle que el propio Verifica no explicita; la falta de acceso al anexo ya está resuelta.</w:t>
      </w:r>
    </w:p>
    <w:p>
      <w:r>
        <w:br w:type="page"/>
      </w:r>
    </w:p>
    <w:p>
      <w:pPr>
        <w:pStyle w:val="Heading1"/>
        <w:keepNext/>
        <w:spacing w:before="260" w:after="100"/>
      </w:pPr>
      <w:r>
        <w:rPr>
          <w:rFonts w:ascii="Arial" w:hAnsi="Arial"/>
          <w:b/>
          <w:color w:val="000000"/>
          <w:sz w:val="28"/>
        </w:rPr>
        <w:t xml:space="preserve">Contraste adicional de la matriz de competencias</w:t>
      </w:r>
    </w:p>
    <w:p>
      <w:pPr>
        <w:spacing w:after="100" w:line="260" w:lineRule="auto"/>
      </w:pPr>
      <w:r>
        <w:rPr>
          <w:rFonts w:ascii="Arial" w:hAnsi="Arial"/>
          <w:sz w:val="20"/>
        </w:rPr>
        <w:t xml:space="preserve">Se revisó la pestaña «Competencias» del archivo «Resultados de aprendizaje_GESTIÓN APLICADA_Plan 21_para Guías Docentes_20260417». La matriz relaciona competencias con columnas de asignaturas y aporta una comprobación complementaria de los resultados de aprendizaje por curso. En seis de los ocho bloques que se pueden comparar, la unión de resultados marcados en la hoja coincide con los resultados de la materia del JSON: Contabilidad y Finanzas, Derecho, Comunicación en Idiomas Modernos, Prácticas académicas externas, Trabajo Fin de Grado y Formación Transversal.</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3345"/>
      </w:tblGrid>
      <w:tr>
        <w:trPr>
          <w:tblHeader/>
          <w:tblHeader/>
        </w:trPr>
        <w:tc>
          <w:tcPr>
            <w:tcW w:w="2041" w:type="dxa"/>
            <w:tcMar>
              <w:top w:w="110" w:type="dxa"/>
              <w:start w:w="110" w:type="dxa"/>
              <w:bottom w:w="110" w:type="dxa"/>
              <w:end w:w="110" w:type="dxa"/>
            </w:tcMar>
            <w:vAlign w:val="center"/>
            <w:shd w:fill="E7EDF3"/>
            <w:tcMar>
              <w:top w:w="100" w:type="dxa"/>
              <w:left w:w="100" w:type="dxa"/>
              <w:bottom w:w="100" w:type="dxa"/>
              <w:right w:w="100" w:type="dxa"/>
            </w:tcMar>
          </w:tcPr>
          <w:p>
            <w:pPr>
              <w:keepNext w:val="0"/>
              <w:spacing w:after="60" w:line="252" w:lineRule="auto"/>
            </w:pPr>
            <w:r>
              <w:rPr>
                <w:rFonts w:ascii="Calibri" w:hAnsi="Calibri"/>
                <w:color w:val="000000"/>
                <w:sz w:val="19"/>
                <w:b/>
              </w:rPr>
              <w:t xml:space="preserve">Materia o aspecto</w:t>
            </w:r>
          </w:p>
        </w:tc>
        <w:tc>
          <w:tcPr>
            <w:tcW w:w="4252" w:type="dxa"/>
            <w:tcMar>
              <w:top w:w="110" w:type="dxa"/>
              <w:start w:w="110" w:type="dxa"/>
              <w:bottom w:w="110" w:type="dxa"/>
              <w:end w:w="110" w:type="dxa"/>
            </w:tcMar>
            <w:vAlign w:val="center"/>
            <w:shd w:fill="E7EDF3"/>
            <w:tcMar>
              <w:top w:w="100" w:type="dxa"/>
              <w:left w:w="100" w:type="dxa"/>
              <w:bottom w:w="100" w:type="dxa"/>
              <w:right w:w="100" w:type="dxa"/>
            </w:tcMar>
          </w:tcPr>
          <w:p>
            <w:pPr>
              <w:keepNext w:val="0"/>
              <w:spacing w:after="60" w:line="252" w:lineRule="auto"/>
            </w:pPr>
            <w:r>
              <w:rPr>
                <w:rFonts w:ascii="Calibri" w:hAnsi="Calibri"/>
                <w:color w:val="000000"/>
                <w:sz w:val="19"/>
                <w:b/>
              </w:rPr>
              <w:t xml:space="preserve">Diferencia observada</w:t>
            </w:r>
          </w:p>
        </w:tc>
        <w:tc>
          <w:tcPr>
            <w:tcW w:w="3345" w:type="dxa"/>
            <w:tcMar>
              <w:top w:w="110" w:type="dxa"/>
              <w:start w:w="110" w:type="dxa"/>
              <w:bottom w:w="110" w:type="dxa"/>
              <w:end w:w="110" w:type="dxa"/>
            </w:tcMar>
            <w:vAlign w:val="center"/>
            <w:shd w:fill="E7EDF3"/>
            <w:tcMar>
              <w:top w:w="100" w:type="dxa"/>
              <w:left w:w="100" w:type="dxa"/>
              <w:bottom w:w="100" w:type="dxa"/>
              <w:right w:w="100" w:type="dxa"/>
            </w:tcMar>
          </w:tcPr>
          <w:p>
            <w:pPr>
              <w:keepNext w:val="0"/>
              <w:spacing w:after="60" w:line="252" w:lineRule="auto"/>
            </w:pPr>
            <w:r>
              <w:rPr>
                <w:rFonts w:ascii="Calibri" w:hAnsi="Calibri"/>
                <w:color w:val="000000"/>
                <w:sz w:val="19"/>
                <w:b/>
              </w:rPr>
              <w:t xml:space="preserve">Alcance</w:t>
            </w:r>
          </w:p>
        </w:tc>
      </w:tr>
      <w:tr>
        <w:tc>
          <w:tcPr>
            <w:tcW w:w="2041"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Empresa y Entorno</w:t>
            </w:r>
          </w:p>
        </w:tc>
        <w:tc>
          <w:tcPr>
            <w:tcW w:w="4252"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El JSON incluye RA12 y RA13 en esta materia, pero la matriz no los marca en las columnas Gestión Empresarial 1–7. La hoja marca RA12 en Derecho 2, Prácticas externas y CORE, y RA13 en Comunicación Empresarial 3–6 y Prácticas externas.</w:t>
            </w:r>
          </w:p>
        </w:tc>
        <w:tc>
          <w:tcPr>
            <w:tcW w:w="3345"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Validar con los responsables la asignación por curso antes de cambiar el JSON.</w:t>
            </w:r>
          </w:p>
        </w:tc>
      </w:tr>
      <w:tr>
        <w:tc>
          <w:tcPr>
            <w:tcW w:w="2041"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Código CE8</w:t>
            </w:r>
          </w:p>
        </w:tc>
        <w:tc>
          <w:tcPr>
            <w:tcW w:w="4252"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La fila 25 de la hoja dice CE8 RA28, pero su descripción corresponde a RA27. La descripción concuerda con el JSON y está marcada en Gestión Empresarial 1, 3 y 4.</w:t>
            </w:r>
          </w:p>
        </w:tc>
        <w:tc>
          <w:tcPr>
            <w:tcW w:w="3345"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Corregir o confirmar el código en la matriz. RA28 sigue siendo el resultado de Contabilidad y Finanzas.</w:t>
            </w:r>
          </w:p>
        </w:tc>
      </w:tr>
      <w:tr>
        <w:tc>
          <w:tcPr>
            <w:tcW w:w="2041"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Comunicación en las Organizaciones</w:t>
            </w:r>
          </w:p>
        </w:tc>
        <w:tc>
          <w:tcPr>
            <w:tcW w:w="4252"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La matriz marca RA16 en las columnas genéricas de idiomas, no en Comunicación Empresarial 1–6. También marca RA20 en Comunicación Empresarial 3–6, resultado que no figura para esta materia en el JSON.</w:t>
            </w:r>
          </w:p>
        </w:tc>
        <w:tc>
          <w:tcPr>
            <w:tcW w:w="3345" w:type="dxa"/>
            <w:tcMar>
              <w:top w:w="110" w:type="dxa"/>
              <w:start w:w="110" w:type="dxa"/>
              <w:bottom w:w="110" w:type="dxa"/>
              <w:end w:w="110" w:type="dxa"/>
            </w:tcMar>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 xml:space="preserve">Confirmar si son diferencias deliberadas del mapa Plan 21 o errores de asignación.</w:t>
            </w:r>
          </w:p>
        </w:tc>
      </w:tr>
      <w:tr>
        <w:tc>
          <w:tcPr>
            <w:tcW w:w="2041"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Formación Complementaria</w:t>
            </w:r>
          </w:p>
        </w:tc>
        <w:tc>
          <w:tcPr>
            <w:tcW w:w="4252"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El JSON identifica Intercambio Académico; la matriz no tiene una columna propia para esta asignatura.</w:t>
            </w:r>
          </w:p>
        </w:tc>
        <w:tc>
          <w:tcPr>
            <w:tcW w:w="3345" w:type="dxa"/>
            <w:tcMar>
              <w:top w:w="110" w:type="dxa"/>
              <w:start w:w="110" w:type="dxa"/>
              <w:bottom w:w="110" w:type="dxa"/>
              <w:end w:w="110" w:type="dxa"/>
            </w:tcMar>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 xml:space="preserve">No se puede contrastar su asignación de resultados con esta hoja.</w:t>
            </w:r>
          </w:p>
        </w:tc>
      </w:tr>
    </w:tbl>
    <w:p>
      <w:pPr>
        <w:spacing w:after="100" w:line="260" w:lineRule="auto"/>
      </w:pPr>
      <w:r>
        <w:t>La matriz no contiene créditos ni semestres y representa los idiomas mediante columnas genéricas. No permite validar la secuenciación del plan ni resolver la discrepancia de créditos que aparece en las cabeceras web de los módulos I y II. Estos hallazgos se registran como diferencias entre la matriz del Plan 21 y la información del JSON; se mantiene como criterio canónico el Verifica vigente y no se modifican los datos del JSON por esta sola comparación. El anexo confirma RA12 y RA13 en Empresa y Entorno y CE8 como RA27 (p. 7); también confirma RA16, sin RA20, en Comunicación en las Organizaciones (p. 14). Estas diferencias de la matriz quedan acreditadas por el Verifica vigente.</w:t>
      </w:r>
    </w:p>
    <w:p>
      <w:pPr>
        <w:pStyle w:val="Heading1"/>
        <w:spacing w:after="40"/>
      </w:pPr>
      <w:r>
        <w:rPr>
          <w:color w:val="000000"/>
          <w:sz w:val="28"/>
        </w:rPr>
        <w:t>Evaluación acreditada por el anexo</w:t>
      </w:r>
    </w:p>
    <w:p>
      <w:pPr>
        <w:pStyle w:val="Heading2"/>
        <w:keepNext/>
        <w:spacing w:after="140"/>
      </w:pPr>
      <w:r>
        <w:rPr>
          <w:color w:val="000000"/>
          <w:sz w:val="24"/>
        </w:rPr>
        <w:t>Ponderaciones mínimas y máximas</w:t>
      </w:r>
    </w:p>
    <w:p>
      <w:r>
        <w:t>Se incorporaron al JSON los 48 pares de mínimos y máximos de las nueve materias, transcritos de las tablas del anexo y comprobados visualmente. La retirada anterior queda como antecedente: la carencia documental que la motivó está resuelta. Los resultados de aprendizaje, las actividades formativas y los sistemas de evaluación ya coincidían y se conservaron.</w:t>
      </w:r>
    </w:p>
    <w:p>
      <w:pPr>
        <w:spacing w:after="0"/>
      </w:pPr>
      <w:r>
        <w:t>Son horquillas por materia. Los extremos no tienen que sumar 100; los pesos efectivos de cada evaluación sí deben hacerlo y respetar los límites aplicables. No se han generado porcentajes específicos por asignatura. En Formación Complementaria, el anexo advierte que los datos de intercambio son orientativos y dependen de la universidad de destino (p. 20).</w:t>
      </w:r>
    </w:p>
    <w:p>
      <w:pPr>
        <w:pStyle w:val="Heading2"/>
      </w:pPr>
      <w:r>
        <w:rPr>
          <w:color w:val="000000"/>
          <w:sz w:val="24"/>
        </w:rPr>
        <w:t>Horquillas transcritas por materia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3345"/>
      </w:tblGrid>
      <w:tr>
        <w:trPr>
          <w:tblHeader/>
        </w:trPr>
        <w:tc>
          <w:tcPr>
            <w:tcW w:type="dxa" w:w="2041"/>
            <w:vAlign w:val="center"/>
            <w:shd w:fill="E7EDF3"/>
            <w:tcMar>
              <w:top w:w="100" w:type="dxa"/>
              <w:left w:w="100" w:type="dxa"/>
              <w:bottom w:w="100" w:type="dxa"/>
              <w:right w:w="100" w:type="dxa"/>
            </w:tcMar>
          </w:tcPr>
          <w:p>
            <w:pPr>
              <w:keepNext w:val="0"/>
              <w:spacing w:after="60" w:line="252" w:lineRule="auto"/>
            </w:pPr>
            <w:r>
              <w:rPr>
                <w:rFonts w:ascii="Calibri" w:hAnsi="Calibri"/>
                <w:b/>
                <w:color w:val="000000"/>
                <w:sz w:val="19"/>
              </w:rPr>
              <w:t>Materia</w:t>
            </w:r>
          </w:p>
        </w:tc>
        <w:tc>
          <w:tcPr>
            <w:tcW w:type="dxa" w:w="4252"/>
            <w:vAlign w:val="center"/>
            <w:shd w:fill="E7EDF3"/>
            <w:tcMar>
              <w:top w:w="100" w:type="dxa"/>
              <w:left w:w="100" w:type="dxa"/>
              <w:bottom w:w="100" w:type="dxa"/>
              <w:right w:w="100" w:type="dxa"/>
            </w:tcMar>
          </w:tcPr>
          <w:p>
            <w:pPr>
              <w:keepNext w:val="0"/>
              <w:spacing w:after="60" w:line="252" w:lineRule="auto"/>
            </w:pPr>
            <w:r>
              <w:rPr>
                <w:rFonts w:ascii="Calibri" w:hAnsi="Calibri"/>
                <w:b/>
                <w:color w:val="000000"/>
                <w:sz w:val="19"/>
              </w:rPr>
              <w:t>Mínimo–máximo por sistema</w:t>
            </w:r>
          </w:p>
        </w:tc>
        <w:tc>
          <w:tcPr>
            <w:tcW w:type="dxa" w:w="3345"/>
            <w:vAlign w:val="center"/>
            <w:shd w:fill="E7EDF3"/>
            <w:tcMar>
              <w:top w:w="100" w:type="dxa"/>
              <w:left w:w="100" w:type="dxa"/>
              <w:bottom w:w="100" w:type="dxa"/>
              <w:right w:w="100" w:type="dxa"/>
            </w:tcMar>
          </w:tcPr>
          <w:p>
            <w:pPr>
              <w:keepNext w:val="0"/>
              <w:spacing w:after="60" w:line="252" w:lineRule="auto"/>
            </w:pPr>
            <w:r>
              <w:rPr>
                <w:rFonts w:ascii="Calibri" w:hAnsi="Calibri"/>
                <w:b/>
                <w:color w:val="000000"/>
                <w:sz w:val="19"/>
              </w:rPr>
              <w:t>Página PDF</w:t>
            </w:r>
          </w:p>
        </w:tc>
      </w:tr>
      <w:tr>
        <w:tc>
          <w:tcPr>
            <w:tcW w:type="dxa" w:w="2041"/>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Empresa y Entorno</w:t>
            </w:r>
          </w:p>
        </w:tc>
        <w:tc>
          <w:tcPr>
            <w:tcW w:type="dxa" w:w="4252"/>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SE1: 0–10 %</w:t>
              <w:br/>
              <w:t>SE2: 5–20 %</w:t>
              <w:br/>
              <w:t>SE3: 30–80 %</w:t>
              <w:br/>
              <w:t>SE4: 0–20 %</w:t>
              <w:br/>
              <w:t>SE5: 20–60 %</w:t>
              <w:br/>
              <w:t>SE6: 0–10 %</w:t>
            </w:r>
          </w:p>
        </w:tc>
        <w:tc>
          <w:tcPr>
            <w:tcW w:type="dxa" w:w="3345"/>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9</w:t>
            </w:r>
          </w:p>
        </w:tc>
      </w:tr>
      <w:tr>
        <w:tc>
          <w:tcPr>
            <w:tcW w:type="dxa" w:w="2041"/>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Derecho</w:t>
            </w:r>
          </w:p>
        </w:tc>
        <w:tc>
          <w:tcPr>
            <w:tcW w:type="dxa" w:w="4252"/>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SE1: 0–10 %</w:t>
              <w:br/>
              <w:t>SE2: 0–20 %</w:t>
              <w:br/>
              <w:t>SE3: 30–80 %</w:t>
              <w:br/>
              <w:t>SE4: 0–20 %</w:t>
              <w:br/>
              <w:t>SE5: 20–60 %</w:t>
              <w:br/>
              <w:t>SE6: 0–10 %</w:t>
            </w:r>
          </w:p>
        </w:tc>
        <w:tc>
          <w:tcPr>
            <w:tcW w:type="dxa" w:w="3345"/>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11</w:t>
            </w:r>
          </w:p>
        </w:tc>
      </w:tr>
      <w:tr>
        <w:tc>
          <w:tcPr>
            <w:tcW w:type="dxa" w:w="2041"/>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Contabilidad y Finanzas</w:t>
            </w:r>
          </w:p>
        </w:tc>
        <w:tc>
          <w:tcPr>
            <w:tcW w:type="dxa" w:w="4252"/>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SE1: 0–10 %</w:t>
              <w:br/>
              <w:t>SE2: 0–20 %</w:t>
              <w:br/>
              <w:t>SE3: 30–80 %</w:t>
              <w:br/>
              <w:t>SE4: 0–20 %</w:t>
              <w:br/>
              <w:t>SE5: 20–60 %</w:t>
              <w:br/>
              <w:t>SE6: 0–10 %</w:t>
            </w:r>
          </w:p>
        </w:tc>
        <w:tc>
          <w:tcPr>
            <w:tcW w:type="dxa" w:w="3345"/>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13</w:t>
            </w:r>
          </w:p>
        </w:tc>
      </w:tr>
      <w:tr>
        <w:tc>
          <w:tcPr>
            <w:tcW w:type="dxa" w:w="2041"/>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Comunicación en las Organizaciones</w:t>
            </w:r>
          </w:p>
        </w:tc>
        <w:tc>
          <w:tcPr>
            <w:tcW w:type="dxa" w:w="4252"/>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SE1: 0–10 %</w:t>
              <w:br/>
              <w:t>SE2: 5–20 %</w:t>
              <w:br/>
              <w:t>SE3: 5–30 %</w:t>
              <w:br/>
              <w:t>SE4: 0–20 %</w:t>
              <w:br/>
              <w:t>SE5: 40–80 %</w:t>
              <w:br/>
              <w:t>SE6: 0–20 %</w:t>
            </w:r>
          </w:p>
        </w:tc>
        <w:tc>
          <w:tcPr>
            <w:tcW w:type="dxa" w:w="3345"/>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16</w:t>
            </w:r>
          </w:p>
        </w:tc>
      </w:tr>
      <w:tr>
        <w:tc>
          <w:tcPr>
            <w:tcW w:type="dxa" w:w="2041"/>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Comunicación en Idiomas Modernos</w:t>
            </w:r>
          </w:p>
        </w:tc>
        <w:tc>
          <w:tcPr>
            <w:tcW w:type="dxa" w:w="4252"/>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SE7: 10–30 %</w:t>
              <w:br/>
              <w:t>SE8: 10–30 %</w:t>
              <w:br/>
              <w:t>SE9: 10–30 %</w:t>
              <w:br/>
              <w:t>SE10: 10–30 %</w:t>
              <w:br/>
              <w:t>SE11: 10–30 %</w:t>
            </w:r>
          </w:p>
        </w:tc>
        <w:tc>
          <w:tcPr>
            <w:tcW w:type="dxa" w:w="3345"/>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17–18</w:t>
            </w:r>
          </w:p>
        </w:tc>
      </w:tr>
      <w:tr>
        <w:tc>
          <w:tcPr>
            <w:tcW w:type="dxa" w:w="2041"/>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Prácticas académicas externas</w:t>
            </w:r>
          </w:p>
        </w:tc>
        <w:tc>
          <w:tcPr>
            <w:tcW w:type="dxa" w:w="4252"/>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SE2: 0–20 %</w:t>
              <w:br/>
              <w:t>SE3: 0–20 %</w:t>
              <w:br/>
              <w:t>SE4: 0–20 %</w:t>
              <w:br/>
              <w:t>SE5: 70–90 %</w:t>
            </w:r>
          </w:p>
        </w:tc>
        <w:tc>
          <w:tcPr>
            <w:tcW w:type="dxa" w:w="3345"/>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19</w:t>
            </w:r>
          </w:p>
        </w:tc>
      </w:tr>
      <w:tr>
        <w:tc>
          <w:tcPr>
            <w:tcW w:type="dxa" w:w="2041"/>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Formación Complementaria</w:t>
            </w:r>
          </w:p>
        </w:tc>
        <w:tc>
          <w:tcPr>
            <w:tcW w:type="dxa" w:w="4252"/>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SE1: 0–10 %</w:t>
              <w:br/>
              <w:t>SE2: 5–20 %</w:t>
              <w:br/>
              <w:t>SE3: 5–30 %</w:t>
              <w:br/>
              <w:t>SE5: 40–80 %</w:t>
              <w:br/>
              <w:t>SE6: 0–20 %</w:t>
            </w:r>
          </w:p>
        </w:tc>
        <w:tc>
          <w:tcPr>
            <w:tcW w:type="dxa" w:w="3345"/>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20–21</w:t>
            </w:r>
          </w:p>
        </w:tc>
      </w:tr>
      <w:tr>
        <w:tc>
          <w:tcPr>
            <w:tcW w:type="dxa" w:w="2041"/>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Trabajo Fin de Grado</w:t>
            </w:r>
          </w:p>
        </w:tc>
        <w:tc>
          <w:tcPr>
            <w:tcW w:type="dxa" w:w="4252"/>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SE1: 0–20 %</w:t>
              <w:br/>
              <w:t>SE3: 0–30 %</w:t>
              <w:br/>
              <w:t>SE4: 0–20 %</w:t>
              <w:br/>
              <w:t>SE5: 70–90 %</w:t>
              <w:br/>
              <w:t>SE6: 0–20 %</w:t>
            </w:r>
          </w:p>
        </w:tc>
        <w:tc>
          <w:tcPr>
            <w:tcW w:type="dxa" w:w="3345"/>
            <w:vAlign w:val="center"/>
            <w:shd w:fill="F7F8FA"/>
            <w:tcMar>
              <w:top w:w="100" w:type="dxa"/>
              <w:left w:w="100" w:type="dxa"/>
              <w:bottom w:w="100" w:type="dxa"/>
              <w:right w:w="100" w:type="dxa"/>
            </w:tcMar>
          </w:tcPr>
          <w:p>
            <w:pPr>
              <w:keepNext w:val="0"/>
              <w:spacing w:after="60" w:line="252" w:lineRule="auto"/>
            </w:pPr>
            <w:r>
              <w:rPr>
                <w:rFonts w:ascii="Calibri" w:hAnsi="Calibri"/>
                <w:color w:val="000000"/>
                <w:sz w:val="19"/>
              </w:rPr>
              <w:t>23</w:t>
            </w:r>
          </w:p>
        </w:tc>
      </w:tr>
      <w:tr>
        <w:tc>
          <w:tcPr>
            <w:tcW w:type="dxa" w:w="2041"/>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Formación Transversal</w:t>
            </w:r>
          </w:p>
        </w:tc>
        <w:tc>
          <w:tcPr>
            <w:tcW w:type="dxa" w:w="4252"/>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SE1: 0–30 %</w:t>
              <w:br/>
              <w:t>SE2: 0–80 %</w:t>
              <w:br/>
              <w:t>SE3: 0–80 %</w:t>
              <w:br/>
              <w:t>SE5: 0–80 %</w:t>
              <w:br/>
              <w:t>SE6: 0–20 %</w:t>
            </w:r>
          </w:p>
        </w:tc>
        <w:tc>
          <w:tcPr>
            <w:tcW w:type="dxa" w:w="3345"/>
            <w:vAlign w:val="center"/>
            <w:shd w:fill="FFFFFF"/>
            <w:tcMar>
              <w:top w:w="100" w:type="dxa"/>
              <w:left w:w="100" w:type="dxa"/>
              <w:bottom w:w="100" w:type="dxa"/>
              <w:right w:w="100" w:type="dxa"/>
            </w:tcMar>
          </w:tcPr>
          <w:p>
            <w:pPr>
              <w:keepNext w:val="0"/>
              <w:spacing w:after="60" w:line="252" w:lineRule="auto"/>
            </w:pPr>
            <w:r>
              <w:rPr>
                <w:rFonts w:ascii="Calibri" w:hAnsi="Calibri"/>
                <w:color w:val="000000"/>
                <w:sz w:val="19"/>
              </w:rPr>
              <w:t>25</w:t>
            </w:r>
          </w:p>
        </w:tc>
      </w:tr>
    </w:tbl>
    <w:p>
      <w:pPr>
        <w:pStyle w:val="Heading2"/>
        <w:keepNext/>
        <w:spacing w:before="140" w:after="80"/>
      </w:pPr>
      <w:r>
        <w:rPr>
          <w:color w:val="000000"/>
          <w:sz w:val="24"/>
        </w:rPr>
        <w:t>Fuentes de los porcentajes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3345"/>
      </w:tblGrid>
      <w:tr>
        <w:trPr>
          <w:tblHeader/>
        </w:trPr>
        <w:tc>
          <w:tcPr>
            <w:tcW w:type="dxa" w:w="2041"/>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Fuente</w:t>
            </w:r>
          </w:p>
        </w:tc>
        <w:tc>
          <w:tcPr>
            <w:tcW w:type="dxa" w:w="4252"/>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Hallazgo</w:t>
            </w:r>
          </w:p>
        </w:tc>
        <w:tc>
          <w:tcPr>
            <w:tcW w:type="dxa" w:w="3345"/>
            <w:vAlign w:val="center"/>
            <w:tcMar>
              <w:top w:w="80" w:type="dxa"/>
              <w:start w:w="95" w:type="dxa"/>
              <w:bottom w:w="80" w:type="dxa"/>
              <w:end w:w="95" w:type="dxa"/>
            </w:tcMar>
            <w:shd w:fill="E7EDF3"/>
            <w:tcMar>
              <w:top w:w="100" w:type="dxa"/>
              <w:left w:w="100" w:type="dxa"/>
              <w:bottom w:w="100" w:type="dxa"/>
              <w:right w:w="100" w:type="dxa"/>
            </w:tcMar>
          </w:tcPr>
          <w:p>
            <w:pPr>
              <w:keepNext w:val="0"/>
              <w:spacing w:after="60" w:before="0" w:line="252" w:lineRule="auto"/>
              <w:jc w:val="center"/>
            </w:pPr>
            <w:r>
              <w:rPr>
                <w:rFonts w:ascii="Calibri" w:hAnsi="Calibri"/>
                <w:b/>
                <w:color w:val="000000"/>
                <w:sz w:val="19"/>
              </w:rPr>
            </w:r>
            <w:r>
              <w:rPr>
                <w:rFonts w:ascii="Calibri" w:hAnsi="Calibri" w:eastAsia="Arial"/>
                <w:b/>
                <w:color w:val="000000"/>
                <w:sz w:val="19"/>
              </w:rPr>
              <w:t>Uso en esta revisión</w:t>
            </w:r>
          </w:p>
        </w:tc>
      </w:tr>
      <w:tr>
        <w:tc>
          <w:tcPr>
            <w:tcW w:type="dxa" w:w="2041"/>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Verifica vigente 2026 (26-03-2026)</w:t>
            </w:r>
          </w:p>
        </w:tc>
        <w:tc>
          <w:tcPr>
            <w:tcW w:type="dxa" w:w="4252"/>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line="252" w:lineRule="auto"/>
            </w:pPr>
            <w:r>
              <w:rPr>
                <w:rFonts w:ascii="Calibri" w:hAnsi="Calibri"/>
                <w:color w:val="000000"/>
                <w:sz w:val="19"/>
              </w:rPr>
              <w:t>El PDF principal describe los sistemas (p. 18); el anexo recibido detalla las horquillas de las nueve materias. Su CSV coincide con la referencia canónica.</w:t>
            </w:r>
          </w:p>
        </w:tc>
        <w:tc>
          <w:tcPr>
            <w:tcW w:type="dxa" w:w="3345"/>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line="252" w:lineRule="auto"/>
            </w:pPr>
            <w:r>
              <w:rPr>
                <w:rFonts w:ascii="Calibri" w:hAnsi="Calibri"/>
                <w:color w:val="000000"/>
                <w:sz w:val="19"/>
              </w:rPr>
              <w:t>Fuente utilizada para completar los 48 pares de límites. Revisión directa del anexo recibido el 2 de octubre de 2026.</w:t>
            </w:r>
          </w:p>
        </w:tc>
      </w:tr>
      <w:tr>
        <w:tc>
          <w:tcPr>
            <w:tcW w:type="dxa" w:w="2041"/>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Memoria UNAV anterior (08-05-2023)</w:t>
            </w:r>
          </w:p>
        </w:tc>
        <w:tc>
          <w:tcPr>
            <w:tcW w:type="dxa" w:w="4252"/>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Publica mínimos y máximos por materia; esos rangos coinciden con los que había en el JSON.</w:t>
            </w:r>
          </w:p>
        </w:tc>
        <w:tc>
          <w:tcPr>
            <w:tcW w:type="dxa" w:w="3345"/>
            <w:vAlign w:val="center"/>
            <w:tcMar>
              <w:top w:w="80" w:type="dxa"/>
              <w:start w:w="95" w:type="dxa"/>
              <w:bottom w:w="80" w:type="dxa"/>
              <w:end w:w="95" w:type="dxa"/>
            </w:tcMar>
            <w:shd w:fill="F7F8FA"/>
            <w:tcMar>
              <w:top w:w="100" w:type="dxa"/>
              <w:left w:w="100" w:type="dxa"/>
              <w:bottom w:w="100" w:type="dxa"/>
              <w:right w:w="100" w:type="dxa"/>
            </w:tcMar>
          </w:tcPr>
          <w:p>
            <w:pPr>
              <w:keepNext w:val="0"/>
              <w:spacing w:after="60" w:line="252" w:lineRule="auto"/>
            </w:pPr>
            <w:r>
              <w:rPr>
                <w:rFonts w:ascii="Calibri" w:hAnsi="Calibri"/>
                <w:color w:val="000000"/>
                <w:sz w:val="19"/>
              </w:rPr>
              <w:t>Antecedente de la búsqueda. Los límites actuales se transcriben del anexo vigente; la coincidencia histórica no sustituye esa acreditación.</w:t>
            </w:r>
          </w:p>
        </w:tc>
      </w:tr>
      <w:tr>
        <w:tc>
          <w:tcPr>
            <w:tcW w:type="dxa" w:w="2041"/>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color w:val="000000"/>
                <w:sz w:val="19"/>
              </w:rPr>
              <w:t>Guía docente 2026-27: Gestión Empresarial 1, grupo B</w:t>
            </w:r>
          </w:p>
        </w:tc>
        <w:tc>
          <w:tcPr>
            <w:tcW w:type="dxa" w:w="4252"/>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Publica pesos concretos: continua 70%, SE3 30%; dentro de la continua, SE2 10%, SE4 5% y SE5 55%.</w:t>
            </w:r>
          </w:p>
        </w:tc>
        <w:tc>
          <w:tcPr>
            <w:tcW w:type="dxa" w:w="3345"/>
            <w:vAlign w:val="center"/>
            <w:tcMar>
              <w:top w:w="80" w:type="dxa"/>
              <w:start w:w="95" w:type="dxa"/>
              <w:bottom w:w="80" w:type="dxa"/>
              <w:end w:w="95" w:type="dxa"/>
            </w:tcMar>
            <w:shd w:fill="FFFFFF"/>
            <w:tcMar>
              <w:top w:w="100" w:type="dxa"/>
              <w:left w:w="100" w:type="dxa"/>
              <w:bottom w:w="100" w:type="dxa"/>
              <w:right w:w="100" w:type="dxa"/>
            </w:tcMar>
          </w:tcPr>
          <w:p>
            <w:pPr>
              <w:keepNext w:val="0"/>
              <w:spacing w:after="60" w:before="0" w:line="252" w:lineRule="auto"/>
            </w:pPr>
            <w:r>
              <w:rPr>
                <w:rFonts w:ascii="Calibri" w:hAnsi="Calibri"/>
                <w:color w:val="000000"/>
                <w:sz w:val="19"/>
              </w:rPr>
            </w:r>
            <w:r>
              <w:rPr>
                <w:rFonts w:ascii="Calibri" w:hAnsi="Calibri" w:eastAsia="Arial"/>
                <w:b w:val="0"/>
                <w:color w:val="000000"/>
                <w:sz w:val="19"/>
              </w:rPr>
              <w:t>Son pesos efectivos de una guía concreta, no mínimos/máximos del Verifica para cada materia. No se extrapolan.</w:t>
            </w:r>
          </w:p>
        </w:tc>
      </w:tr>
    </w:tbl>
    <w:p>
      <w:pPr>
        <w:pStyle w:val="Heading1"/>
      </w:pPr>
      <w:r>
        <w:rPr>
          <w:color w:val="000000"/>
          <w:sz w:val="28"/>
        </w:rPr>
        <w:t>Aspectos del anexo que requieren aclaración</w:t>
      </w:r>
    </w:p>
    <w:p>
      <w:pPr>
        <w:pStyle w:val="ListBullet"/>
      </w:pPr>
      <w:r>
        <w:t>Core Curriculum: el texto general habla de dos asignaturas obligatorias y dos optativas de 3 ECTS (p. 4), mientras que la ficha específica declara 18 ECTS obligatorios (p. 24), como el PDF principal. El JSON mantiene la ficha específica; se solicita revisar la descripción general.</w:t>
      </w:r>
    </w:p>
    <w:p>
      <w:pPr>
        <w:pStyle w:val="ListBullet"/>
      </w:pPr>
      <w:r>
        <w:t>Horas: Empresa y Entorno suma 1.971 horas para 78 ECTS (p. 9) y Comunicación en las Organizaciones, 681 para 27 ECTS (p. 15). A 25 horas por ECTS, razón que arrojan las restantes fichas, serían 1.950 y 675. Se solicita confirmar el criterio de cómputo.</w:t>
      </w:r>
    </w:p>
    <w:p>
      <w:pPr>
        <w:pStyle w:val="ListBullet"/>
      </w:pPr>
      <w:r>
        <w:t>Prácticas: AF5 figura con 550 horas y 0 % de presencialidad (p. 19), frente al 100 % de AF5 en otras fichas. Se solicita aclarar el criterio para las actividades en empresas.</w:t>
      </w:r>
    </w:p>
    <w:p>
      <w:pPr>
        <w:pStyle w:val="ListBullet"/>
      </w:pPr>
      <w:r>
        <w:t>El esquema actual del JSON no registra horas, presencialidad, idiomas de impartición ni contenidos. El anexo conserva ese detalle. Tampoco se inventa una asignación de metodologías MD por materia que el anexo no proporciona.</w:t>
      </w:r>
    </w:p>
    <w:p>
      <w:pPr>
        <w:pStyle w:val="Heading1"/>
        <w:keepNext/>
        <w:spacing w:before="140" w:after="80"/>
      </w:pPr>
      <w:r>
        <w:rPr>
          <w:rFonts w:ascii="Arial" w:hAnsi="Arial" w:eastAsia="Arial"/>
          <w:b/>
          <w:color w:val="000000"/>
          <w:sz w:val="28"/>
        </w:rPr>
        <w:t>Revisión solicitada</w:t>
      </w:r>
    </w:p>
    <w:p>
      <w:pPr>
        <w:pStyle w:val="ListBullet"/>
        <w:spacing w:after="60"/>
        <w:ind w:left="317" w:hanging="173"/>
      </w:pPr>
      <w:r>
        <w:t>Confirmar con los responsables el detalle de asignaturas que el Verifica no enumera y las diferencias de asignación de resultados en la matriz de competencias.</w:t>
      </w:r>
    </w:p>
    <w:p>
      <w:pPr>
        <w:pStyle w:val="ListBullet"/>
        <w:spacing w:after="60"/>
        <w:ind w:left="317" w:hanging="173"/>
      </w:pPr>
      <w:r>
        <w:rPr>
          <w:rFonts w:ascii="Arial" w:hAnsi="Arial" w:eastAsia="Arial"/>
          <w:b w:val="0"/>
          <w:color w:val="52606D"/>
          <w:sz w:val="17"/>
        </w:rPr>
        <w:t>Revisar la cabecera web del Módulo I (111 ECTS), que difiere del Verifica (108) y de su propio desglose (108). Revisar también la cabecera del Módulo II (81 frente a 84 ECTS).</w:t>
      </w:r>
    </w:p>
    <w:p>
      <w:pPr>
        <w:pStyle w:val="Heading1"/>
        <w:keepNext/>
        <w:spacing w:before="140" w:after="80"/>
      </w:pPr>
      <w:r>
        <w:rPr>
          <w:rFonts w:ascii="Arial" w:hAnsi="Arial" w:eastAsia="Arial"/>
          <w:b/>
          <w:color w:val="000000"/>
          <w:sz w:val="28"/>
        </w:rPr>
        <w:t>Fuentes consultadas</w:t>
      </w:r>
    </w:p>
    <w:p>
      <w:pPr>
        <w:pStyle w:val="ListBullet"/>
        <w:spacing w:after="40"/>
        <w:ind w:left="317" w:hanging="173"/>
      </w:pPr>
      <w:hyperlink r:id="rId11">
        <w:r>
          <w:rPr>
            <w:color w:val="2F75B5"/>
            <w:u w:val="single"/>
            <w:rFonts w:ascii="Arial" w:hAnsi="Arial"/>
          </w:rPr>
          <w:t>Verifica vigente UNAV, 26 de marzo de 2026 (ID 2503801)</w:t>
        </w:r>
      </w:hyperlink>
    </w:p>
    <w:p>
      <w:pPr>
        <w:pStyle w:val="ListBullet"/>
        <w:spacing w:after="40"/>
        <w:ind w:left="317" w:hanging="173"/>
      </w:pPr>
      <w:r>
        <w:t>Anexo 4.1 recibido, 25 páginas, CSV 966597729780096717618167. Copia incluida en el paquete de revisión.</w:t>
      </w:r>
    </w:p>
    <w:p>
      <w:pPr>
        <w:pStyle w:val="ListBullet"/>
        <w:spacing w:after="40"/>
        <w:ind w:left="317" w:hanging="173"/>
      </w:pPr>
      <w:hyperlink r:id="rId13">
        <w:r>
          <w:rPr>
            <w:color w:val="2F75B5"/>
            <w:u w:val="single"/>
            <w:rFonts w:ascii="Arial" w:hAnsi="Arial"/>
          </w:rPr>
          <w:t>Plan de estudios publicado por UNAV</w:t>
        </w:r>
      </w:hyperlink>
    </w:p>
    <w:p>
      <w:pPr>
        <w:pStyle w:val="ListBullet"/>
        <w:spacing w:after="40"/>
        <w:ind w:left="317" w:hanging="173"/>
      </w:pPr>
      <w:hyperlink r:id="rId14">
        <w:r>
          <w:rPr>
            <w:color w:val="2F75B5"/>
            <w:u w:val="single"/>
            <w:rFonts w:ascii="Arial" w:hAnsi="Arial"/>
          </w:rPr>
          <w:t>Memoria UNAV anterior, 8 de mayo de 2023</w:t>
        </w:r>
      </w:hyperlink>
    </w:p>
    <w:p>
      <w:pPr>
        <w:pStyle w:val="ListBullet"/>
        <w:spacing w:after="40"/>
        <w:ind w:left="317" w:hanging="173"/>
      </w:pPr>
      <w:hyperlink r:id="rId15">
        <w:r>
          <w:rPr>
            <w:color w:val="2F75B5"/>
            <w:u w:val="single"/>
            <w:rFonts w:ascii="Arial" w:hAnsi="Arial"/>
          </w:rPr>
          <w:t>Guía docente 2026-27: Gestión Empresarial 1, grupo B</w:t>
        </w:r>
      </w:hyperlink>
    </w:p>
    <w:p>
      <w:pPr>
        <w:pStyle w:val="ListBullet"/>
        <w:spacing w:after="60"/>
      </w:pPr>
      <w:r>
        <w:t xml:space="preserve">Matriz de resultados de aprendizaje para guías docentes, pestaña Competencias, archivo Plan 21 fechado 17 de abril de 2026; consultada el 25 de septiembre de 2026. </w:t>
      </w:r>
      <w:hyperlink r:id="rId16">
        <w:r>
          <w:rPr>
            <w:color w:val="0563C1"/>
            <w:u w:val="single"/>
          </w:rPr>
          <w:t>abrir Google Sheets</w:t>
        </w:r>
      </w:hyperlink>
    </w:p>
    <w:p>
      <w:pPr>
        <w:spacing w:after="0" w:line="250" w:lineRule="auto"/>
      </w:pPr>
      <w:r>
        <w:t>Web, guías y Google Sheets consultados el 25 de septiembre de 2026. Anexo recibido y contrastado el 2 de octubre de 2026. Las referencias al anexo indican posiciones dentro del PDF; su página 13 muestra «3» en el pie.</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B8794"/>
        <w:sz w:val="16"/>
      </w:rPr>
      <w:t xml:space="preserve">Contraste de fuentes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C93"/>
        <w:sz w:val="15"/>
      </w:rPr>
      <w:t>INFORME PARA REVISIÓN  ·  GRADO EN GESTIÓN APLICADA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av.edu/documents/d/escuela-de-gestion-aplicada/memoria-vigente-2026" TargetMode="External"/><Relationship Id="rId12" Type="http://schemas.openxmlformats.org/officeDocument/2006/relationships/hyperlink" Target="https://sede.educacion.gob.es/cid/966597729780096717618167.pdf" TargetMode="External"/><Relationship Id="rId13" Type="http://schemas.openxmlformats.org/officeDocument/2006/relationships/hyperlink" Target="https://www.unav.edu/web/grado-en-gestion-aplicada-applied-management/plan-de-estudios" TargetMode="External"/><Relationship Id="rId14" Type="http://schemas.openxmlformats.org/officeDocument/2006/relationships/hyperlink" Target="https://www.unav.edu/documents/5463875/30551519/Memoria%2BVigente%2BGrado%2Ben%2BGesti%C3%B3n%2BAplicada%2B-%2BApplied%2BManagement.pdf/9b478a18-331d-650a-76c4-5c00e474abf5?t=1686756866235" TargetMode="External"/><Relationship Id="rId15" Type="http://schemas.openxmlformats.org/officeDocument/2006/relationships/hyperlink" Target="https://asignatura.unav.edu/GESTIO-08366-2627.pdf" TargetMode="External"/><Relationship Id="rId16" Type="http://schemas.openxmlformats.org/officeDocument/2006/relationships/hyperlink" Target="https://docs.google.com/spreadsheets/d/13n82JWOVkWu1yXI_yYIpcW-CaMI7NSuAr1qqExhTDQo/edit?gid=1634743879#gid=16347438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Contraste del plan de estudios de Gestión Aplicada</dc:title>
  <dc:subject>Actualización con el anexo vigente y revisión de fuentes</dc:subject>
  <dc:creator>Universidad de Navarra</dc:creator>
  <cp:keywords/>
  <dc:description>generated by python-docx</dc:description>
  <cp:lastModifiedBy/>
  <cp:revision>1</cp:revision>
  <dcterms:created xsi:type="dcterms:W3CDTF">2013-12-23T23:15:00Z</dcterms:created>
  <dcterms:modified xsi:type="dcterms:W3CDTF">2013-12-23T23:15:00Z</dcterms:modified>
  <cp:category/>
</cp:coreProperties>
</file>