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4881"/>
      </w:tblGrid>
      <w:tr w:rsidR="00B30FF6" w:rsidRPr="00B30FF6" w14:paraId="22B5FA0E" w14:textId="77777777" w:rsidTr="00B30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C84C" w14:textId="77777777" w:rsidR="00B30FF6" w:rsidRPr="00B30FF6" w:rsidRDefault="00B30FF6" w:rsidP="00B30F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b/>
                <w:bCs/>
                <w:lang w:val="en-CN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4029E7FF" w14:textId="77777777" w:rsidR="00B30FF6" w:rsidRPr="00B30FF6" w:rsidRDefault="00B30FF6" w:rsidP="00B30F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b/>
                <w:bCs/>
                <w:lang w:val="en-CN"/>
              </w:rPr>
              <w:t>Don’t</w:t>
            </w:r>
          </w:p>
        </w:tc>
      </w:tr>
      <w:tr w:rsidR="00B30FF6" w:rsidRPr="00B30FF6" w14:paraId="6F168121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AB73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Carry out background research as the first step.</w:t>
            </w:r>
          </w:p>
        </w:tc>
        <w:tc>
          <w:tcPr>
            <w:tcW w:w="0" w:type="auto"/>
            <w:vAlign w:val="center"/>
            <w:hideMark/>
          </w:tcPr>
          <w:p w14:paraId="442C35B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 xml:space="preserve">Delve into peer-reviewed scientific publications </w:t>
            </w:r>
            <w:r w:rsidRPr="00B30FF6">
              <w:rPr>
                <w:rFonts w:ascii="Times New Roman" w:eastAsia="Times New Roman" w:hAnsi="Times New Roman" w:cs="Times New Roman"/>
                <w:b/>
                <w:bCs/>
                <w:lang w:val="en-CN"/>
              </w:rPr>
              <w:t>before</w:t>
            </w:r>
            <w:r w:rsidRPr="00B30FF6">
              <w:rPr>
                <w:rFonts w:ascii="Times New Roman" w:eastAsia="Times New Roman" w:hAnsi="Times New Roman" w:cs="Times New Roman"/>
                <w:lang w:val="en-CN"/>
              </w:rPr>
              <w:t xml:space="preserve"> understanding the theories and concepts associated with the topic.</w:t>
            </w:r>
          </w:p>
        </w:tc>
      </w:tr>
      <w:tr w:rsidR="00B30FF6" w:rsidRPr="00B30FF6" w14:paraId="27C3743A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B74A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Ensure that you fully understand the theories and concepts associated with your topic.</w:t>
            </w:r>
          </w:p>
        </w:tc>
        <w:tc>
          <w:tcPr>
            <w:tcW w:w="0" w:type="auto"/>
            <w:vAlign w:val="center"/>
            <w:hideMark/>
          </w:tcPr>
          <w:p w14:paraId="2BD865BB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 xml:space="preserve">Use theories and concepts that are </w:t>
            </w:r>
            <w:r w:rsidRPr="00B30FF6">
              <w:rPr>
                <w:rFonts w:ascii="Times New Roman" w:eastAsia="Times New Roman" w:hAnsi="Times New Roman" w:cs="Times New Roman"/>
                <w:b/>
                <w:bCs/>
                <w:lang w:val="en-CN"/>
              </w:rPr>
              <w:t>not linked to the topic and research question</w:t>
            </w:r>
            <w:r w:rsidRPr="00B30FF6">
              <w:rPr>
                <w:rFonts w:ascii="Times New Roman" w:eastAsia="Times New Roman" w:hAnsi="Times New Roman" w:cs="Times New Roman"/>
                <w:lang w:val="en-CN"/>
              </w:rPr>
              <w:t>.</w:t>
            </w:r>
          </w:p>
        </w:tc>
      </w:tr>
      <w:tr w:rsidR="00B30FF6" w:rsidRPr="00B30FF6" w14:paraId="18B86237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9EE1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Link theories and concepts to the topic and research question and use them to support the argument.</w:t>
            </w:r>
          </w:p>
        </w:tc>
        <w:tc>
          <w:tcPr>
            <w:tcW w:w="0" w:type="auto"/>
            <w:vAlign w:val="center"/>
            <w:hideMark/>
          </w:tcPr>
          <w:p w14:paraId="3331CDF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Include material that does not support the argument.</w:t>
            </w:r>
          </w:p>
        </w:tc>
      </w:tr>
      <w:tr w:rsidR="00B30FF6" w:rsidRPr="00B30FF6" w14:paraId="448910CF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A2C2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For secondary data, make the selection criteria for the material to be included explicit in the essay.</w:t>
            </w:r>
          </w:p>
        </w:tc>
        <w:tc>
          <w:tcPr>
            <w:tcW w:w="0" w:type="auto"/>
            <w:vAlign w:val="center"/>
            <w:hideMark/>
          </w:tcPr>
          <w:p w14:paraId="381CD0F5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secondary data without explaining how or why the material was selected.</w:t>
            </w:r>
          </w:p>
        </w:tc>
      </w:tr>
      <w:tr w:rsidR="00B30FF6" w:rsidRPr="00B30FF6" w14:paraId="3EC0946D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ABD1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Formulate a focused research question to sustain an argument throughout the essay.</w:t>
            </w:r>
          </w:p>
        </w:tc>
        <w:tc>
          <w:tcPr>
            <w:tcW w:w="0" w:type="auto"/>
            <w:vAlign w:val="center"/>
            <w:hideMark/>
          </w:tcPr>
          <w:p w14:paraId="6D0A49DD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an unfocused research question that does not support a sustained argument.</w:t>
            </w:r>
          </w:p>
        </w:tc>
      </w:tr>
      <w:tr w:rsidR="00B30FF6" w:rsidRPr="00B30FF6" w14:paraId="14C61C4A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FE13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the research question to define the structure of the essay, the methodology, and the terminology.</w:t>
            </w:r>
          </w:p>
        </w:tc>
        <w:tc>
          <w:tcPr>
            <w:tcW w:w="0" w:type="auto"/>
            <w:vAlign w:val="center"/>
            <w:hideMark/>
          </w:tcPr>
          <w:p w14:paraId="29C20EFF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Allow the structure, methodology, or terminology to be disconnected from the research question.</w:t>
            </w:r>
          </w:p>
        </w:tc>
      </w:tr>
      <w:tr w:rsidR="00B30FF6" w:rsidRPr="00B30FF6" w14:paraId="3A1EB068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F995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sources to support the introduction of the topic and give context to the analysis and discussion.</w:t>
            </w:r>
          </w:p>
        </w:tc>
        <w:tc>
          <w:tcPr>
            <w:tcW w:w="0" w:type="auto"/>
            <w:vAlign w:val="center"/>
            <w:hideMark/>
          </w:tcPr>
          <w:p w14:paraId="716E9388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Introduce sources that do not support or contextualize the analysis and discussion.</w:t>
            </w:r>
          </w:p>
        </w:tc>
      </w:tr>
      <w:tr w:rsidR="00B30FF6" w:rsidRPr="00B30FF6" w14:paraId="04CBD528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641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Define and justify the variables in the research question.</w:t>
            </w:r>
          </w:p>
        </w:tc>
        <w:tc>
          <w:tcPr>
            <w:tcW w:w="0" w:type="auto"/>
            <w:vAlign w:val="center"/>
            <w:hideMark/>
          </w:tcPr>
          <w:p w14:paraId="47A7A0AD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variables that are not defined or justified.</w:t>
            </w:r>
          </w:p>
        </w:tc>
      </w:tr>
      <w:tr w:rsidR="00B30FF6" w:rsidRPr="00B30FF6" w14:paraId="19B0ED98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1DE0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Ensure variables allow measurements to be made in the investigation.</w:t>
            </w:r>
          </w:p>
        </w:tc>
        <w:tc>
          <w:tcPr>
            <w:tcW w:w="0" w:type="auto"/>
            <w:vAlign w:val="center"/>
            <w:hideMark/>
          </w:tcPr>
          <w:p w14:paraId="642FD2A5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Include variables that cannot be measured.</w:t>
            </w:r>
          </w:p>
        </w:tc>
      </w:tr>
      <w:tr w:rsidR="00B30FF6" w:rsidRPr="00B30FF6" w14:paraId="67A3EB4A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980B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the International System of Units (SI).</w:t>
            </w:r>
          </w:p>
        </w:tc>
        <w:tc>
          <w:tcPr>
            <w:tcW w:w="0" w:type="auto"/>
            <w:vAlign w:val="center"/>
            <w:hideMark/>
          </w:tcPr>
          <w:p w14:paraId="59B09DD5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Use non-SI units.</w:t>
            </w:r>
          </w:p>
        </w:tc>
      </w:tr>
      <w:tr w:rsidR="00B30FF6" w:rsidRPr="00B30FF6" w14:paraId="6D4D915D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59D7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Detail the methodology so that the investigation can be replicated.</w:t>
            </w:r>
          </w:p>
        </w:tc>
        <w:tc>
          <w:tcPr>
            <w:tcW w:w="0" w:type="auto"/>
            <w:vAlign w:val="center"/>
            <w:hideMark/>
          </w:tcPr>
          <w:p w14:paraId="3B314C6C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Describe the methodology in a way that prevents replication.</w:t>
            </w:r>
          </w:p>
        </w:tc>
      </w:tr>
      <w:tr w:rsidR="00B30FF6" w:rsidRPr="00B30FF6" w14:paraId="30EDC784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9D96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Ensure the methodology supports measuring the dependent variables under standardized conditions.</w:t>
            </w:r>
          </w:p>
        </w:tc>
        <w:tc>
          <w:tcPr>
            <w:tcW w:w="0" w:type="auto"/>
            <w:vAlign w:val="center"/>
            <w:hideMark/>
          </w:tcPr>
          <w:p w14:paraId="388066A0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Measure dependent variables without standardized conditions.</w:t>
            </w:r>
          </w:p>
        </w:tc>
      </w:tr>
      <w:tr w:rsidR="00B30FF6" w:rsidRPr="00B30FF6" w14:paraId="69B605D8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E00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Present results in a standardized format.</w:t>
            </w:r>
          </w:p>
        </w:tc>
        <w:tc>
          <w:tcPr>
            <w:tcW w:w="0" w:type="auto"/>
            <w:vAlign w:val="center"/>
            <w:hideMark/>
          </w:tcPr>
          <w:p w14:paraId="3B9F4F67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Present results without standardization.</w:t>
            </w:r>
          </w:p>
        </w:tc>
      </w:tr>
      <w:tr w:rsidR="00B30FF6" w:rsidRPr="00B30FF6" w14:paraId="3C5CD2D8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3119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Clearly label results with appropriate headings, units, and numbering.</w:t>
            </w:r>
          </w:p>
        </w:tc>
        <w:tc>
          <w:tcPr>
            <w:tcW w:w="0" w:type="auto"/>
            <w:vAlign w:val="center"/>
            <w:hideMark/>
          </w:tcPr>
          <w:p w14:paraId="536748B3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Present graphs or tables without clear labels, units, or numbering.</w:t>
            </w:r>
          </w:p>
        </w:tc>
      </w:tr>
      <w:tr w:rsidR="00B30FF6" w:rsidRPr="00B30FF6" w14:paraId="0C385E77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7DD0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 xml:space="preserve">Copy graphs or tables from selected sources </w:t>
            </w:r>
            <w:r w:rsidRPr="00B30FF6">
              <w:rPr>
                <w:rFonts w:ascii="Times New Roman" w:eastAsia="Times New Roman" w:hAnsi="Times New Roman" w:cs="Times New Roman"/>
                <w:b/>
                <w:bCs/>
                <w:lang w:val="en-CN"/>
              </w:rPr>
              <w:t>only</w:t>
            </w:r>
            <w:r w:rsidRPr="00B30FF6">
              <w:rPr>
                <w:rFonts w:ascii="Times New Roman" w:eastAsia="Times New Roman" w:hAnsi="Times New Roman" w:cs="Times New Roman"/>
                <w:lang w:val="en-CN"/>
              </w:rPr>
              <w:t xml:space="preserve"> when using secondary data, and perform the analysis yourself.</w:t>
            </w:r>
          </w:p>
        </w:tc>
        <w:tc>
          <w:tcPr>
            <w:tcW w:w="0" w:type="auto"/>
            <w:vAlign w:val="center"/>
            <w:hideMark/>
          </w:tcPr>
          <w:p w14:paraId="4A146A21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Copy graphs, tables, or statistical analysis directly from sources without student analysis.</w:t>
            </w:r>
          </w:p>
        </w:tc>
      </w:tr>
      <w:tr w:rsidR="00B30FF6" w:rsidRPr="00B30FF6" w14:paraId="01FDEDC2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B2FA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Support conclusions with the data.</w:t>
            </w:r>
          </w:p>
        </w:tc>
        <w:tc>
          <w:tcPr>
            <w:tcW w:w="0" w:type="auto"/>
            <w:vAlign w:val="center"/>
            <w:hideMark/>
          </w:tcPr>
          <w:p w14:paraId="55BB000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Draw conclusions that are not supported by the data.</w:t>
            </w:r>
          </w:p>
        </w:tc>
      </w:tr>
      <w:tr w:rsidR="00B30FF6" w:rsidRPr="00B30FF6" w14:paraId="37B19B3D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E8B2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Accept that data may not support the hypothesis and treat “negative” results as valid.</w:t>
            </w:r>
          </w:p>
        </w:tc>
        <w:tc>
          <w:tcPr>
            <w:tcW w:w="0" w:type="auto"/>
            <w:vAlign w:val="center"/>
            <w:hideMark/>
          </w:tcPr>
          <w:p w14:paraId="0969B782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Dismiss or undervalue results because they do not support the hypothesis.</w:t>
            </w:r>
          </w:p>
        </w:tc>
      </w:tr>
      <w:tr w:rsidR="00B30FF6" w:rsidRPr="00B30FF6" w14:paraId="2ABC9E9F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3B09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lastRenderedPageBreak/>
              <w:t>Critically evaluate results and conclusions in the context of the research question.</w:t>
            </w:r>
          </w:p>
        </w:tc>
        <w:tc>
          <w:tcPr>
            <w:tcW w:w="0" w:type="auto"/>
            <w:vAlign w:val="center"/>
            <w:hideMark/>
          </w:tcPr>
          <w:p w14:paraId="31EEA1A9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Ignore the research question when evaluating results and conclusions.</w:t>
            </w:r>
          </w:p>
        </w:tc>
      </w:tr>
      <w:tr w:rsidR="00B30FF6" w:rsidRPr="00B30FF6" w14:paraId="311ADF58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0584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Link the evaluation to the research question and the methodology.</w:t>
            </w:r>
          </w:p>
        </w:tc>
        <w:tc>
          <w:tcPr>
            <w:tcW w:w="0" w:type="auto"/>
            <w:vAlign w:val="center"/>
            <w:hideMark/>
          </w:tcPr>
          <w:p w14:paraId="17C664EF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Write an evaluation that is not connected to the research question or methodology.</w:t>
            </w:r>
          </w:p>
        </w:tc>
      </w:tr>
      <w:tr w:rsidR="00B30FF6" w:rsidRPr="00B30FF6" w14:paraId="5E2C103D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077C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Show the strengths and weaknesses of the essay in a scientific context.</w:t>
            </w:r>
          </w:p>
        </w:tc>
        <w:tc>
          <w:tcPr>
            <w:tcW w:w="0" w:type="auto"/>
            <w:vAlign w:val="center"/>
            <w:hideMark/>
          </w:tcPr>
          <w:p w14:paraId="15E71C0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Omit discussion of strengths and weaknesses.</w:t>
            </w:r>
          </w:p>
        </w:tc>
      </w:tr>
      <w:tr w:rsidR="00B30FF6" w:rsidRPr="00B30FF6" w14:paraId="381C967D" w14:textId="77777777" w:rsidTr="00B30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D51E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Include sources in the evaluation.</w:t>
            </w:r>
          </w:p>
        </w:tc>
        <w:tc>
          <w:tcPr>
            <w:tcW w:w="0" w:type="auto"/>
            <w:vAlign w:val="center"/>
            <w:hideMark/>
          </w:tcPr>
          <w:p w14:paraId="1F37BB63" w14:textId="77777777" w:rsidR="00B30FF6" w:rsidRPr="00B30FF6" w:rsidRDefault="00B30FF6" w:rsidP="00B30FF6">
            <w:pPr>
              <w:rPr>
                <w:rFonts w:ascii="Times New Roman" w:eastAsia="Times New Roman" w:hAnsi="Times New Roman" w:cs="Times New Roman"/>
                <w:lang w:val="en-CN"/>
              </w:rPr>
            </w:pPr>
            <w:r w:rsidRPr="00B30FF6">
              <w:rPr>
                <w:rFonts w:ascii="Times New Roman" w:eastAsia="Times New Roman" w:hAnsi="Times New Roman" w:cs="Times New Roman"/>
                <w:lang w:val="en-CN"/>
              </w:rPr>
              <w:t>Exclude sources from the evaluation.</w:t>
            </w:r>
          </w:p>
        </w:tc>
      </w:tr>
    </w:tbl>
    <w:p w14:paraId="420738EF" w14:textId="77777777" w:rsidR="004839BD" w:rsidRPr="00B30FF6" w:rsidRDefault="004839BD">
      <w:pPr>
        <w:rPr>
          <w:rFonts w:hint="eastAsia"/>
          <w:lang w:val="en-CN"/>
        </w:rPr>
      </w:pPr>
    </w:p>
    <w:sectPr w:rsidR="004839BD" w:rsidRPr="00B30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62"/>
    <w:rsid w:val="00015462"/>
    <w:rsid w:val="004839BD"/>
    <w:rsid w:val="00757B8B"/>
    <w:rsid w:val="008D3BD3"/>
    <w:rsid w:val="00B3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E8990"/>
  <w15:chartTrackingRefBased/>
  <w15:docId w15:val="{2873C3B9-A6DE-FE4C-A156-A9F402DA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6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62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62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62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62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62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62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62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5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4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46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54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62"/>
    <w:rPr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1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62"/>
    <w:rPr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54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0F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7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Huang (HSS 2027)</dc:creator>
  <cp:keywords/>
  <dc:description/>
  <cp:lastModifiedBy>Haoyu Huang (HSS 2027)</cp:lastModifiedBy>
  <cp:revision>2</cp:revision>
  <dcterms:created xsi:type="dcterms:W3CDTF">2025-12-22T06:57:00Z</dcterms:created>
  <dcterms:modified xsi:type="dcterms:W3CDTF">2025-12-22T06:57:00Z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4c4afa-7e58-4b71-a825-8021dd1be439_Enabled">
    <vt:lpwstr>true</vt:lpwstr>
  </property>
  <property fmtid="{D5CDD505-2E9C-101B-9397-08002B2CF9AE}" pid="3" name="MSIP_Label_704c4afa-7e58-4b71-a825-8021dd1be439_SetDate">
    <vt:lpwstr>2025-12-22T06:57:45Z</vt:lpwstr>
  </property>
  <property fmtid="{D5CDD505-2E9C-101B-9397-08002B2CF9AE}" pid="4" name="MSIP_Label_704c4afa-7e58-4b71-a825-8021dd1be439_Method">
    <vt:lpwstr>Standard</vt:lpwstr>
  </property>
  <property fmtid="{D5CDD505-2E9C-101B-9397-08002B2CF9AE}" pid="5" name="MSIP_Label_704c4afa-7e58-4b71-a825-8021dd1be439_Name">
    <vt:lpwstr>Staff Only Level</vt:lpwstr>
  </property>
  <property fmtid="{D5CDD505-2E9C-101B-9397-08002B2CF9AE}" pid="6" name="MSIP_Label_704c4afa-7e58-4b71-a825-8021dd1be439_SiteId">
    <vt:lpwstr>e0567466-186a-4dd7-9eaa-b9bb1a8a982e</vt:lpwstr>
  </property>
  <property fmtid="{D5CDD505-2E9C-101B-9397-08002B2CF9AE}" pid="7" name="MSIP_Label_704c4afa-7e58-4b71-a825-8021dd1be439_ActionId">
    <vt:lpwstr>c73e8ffc-2519-4c58-ba61-9721b9dc8794</vt:lpwstr>
  </property>
  <property fmtid="{D5CDD505-2E9C-101B-9397-08002B2CF9AE}" pid="8" name="MSIP_Label_704c4afa-7e58-4b71-a825-8021dd1be439_ContentBits">
    <vt:lpwstr>0</vt:lpwstr>
  </property>
  <property fmtid="{D5CDD505-2E9C-101B-9397-08002B2CF9AE}" pid="9" name="MSIP_Label_704c4afa-7e58-4b71-a825-8021dd1be439_Tag">
    <vt:lpwstr>50, 3, 0, 1</vt:lpwstr>
  </property>
</Properties>
</file>