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FD07" w14:textId="77777777" w:rsidR="00B16C47" w:rsidRDefault="00B16C47" w:rsidP="00B16C47">
      <w:pPr>
        <w:pStyle w:val="NormalWeb"/>
      </w:pPr>
      <w:r>
        <w:t>Current research on vision- and sensor-based evaluation of swimming technique sits at the intersection of human motion capture, domain-specific pose estimation, and automated coaching feedback. Hur et al. propose a learning-based framework for estimating lower-limb joint kinematics from wearable IMU signals, showing that deep models can recover joint trajectories with minimal calibration while navigating the trade-off between personalization and cross-user generalization (Hur et al., 2025). Although their work focuses on gait rather than aquatic motion, the idea of pretraining on broad movement patterns and then fine-tuning to a specific athlete offers a useful template for swimmer-specific evaluation systems, especially for modeling individual breaststroke kick styles.</w:t>
      </w:r>
    </w:p>
    <w:p w14:paraId="0B4BC80B" w14:textId="77777777" w:rsidR="00B16C47" w:rsidRDefault="00B16C47" w:rsidP="00B16C47">
      <w:pPr>
        <w:pStyle w:val="NormalWeb"/>
      </w:pPr>
      <w:r>
        <w:t>Within swimming itself, a key technical challenge is robust pose estimation under underwater visual artifacts. Giulietti et al.’s SwimmerNET reframes underwater pose estimation as semantic segmentation of body regions with fully convolutional networks, followed by post-processing to derive stable joint trajectories, improving robustness over generic land-trained pose estimators (Giulietti et al., 2023). Complementing real-video methods, Thapa et al. introduce SwimXYZ, a large-scale synthetic swimming dataset with synchronized 3D motion and rendered videos, enabling controlled experiments on swimming-specific pose and motion recovery while explicitly highlighting the synthetic-to-real domain gap that practical systems must address (Thapa et al., 2023). Together, these works suggest that effective breaststroke-kick evaluation will require both domain-specific visual modeling and strategies for dealing with imperfect or synthetic training data.</w:t>
      </w:r>
    </w:p>
    <w:p w14:paraId="754600F2" w14:textId="77777777" w:rsidR="00B16C47" w:rsidRDefault="00B16C47" w:rsidP="00B16C47">
      <w:pPr>
        <w:pStyle w:val="NormalWeb"/>
      </w:pPr>
      <w:r>
        <w:t>On the feedback side, recent work has begun to close the loop from motion understanding to coaching advice. The RL-CWtrans Net system presents a transformer-based, multimodal robot-vision pipeline that recognizes swimming actions and generates coaching signals, emphasizing the importance of long-range temporal context and multi-view robustness for real-world deployment (“RL-CWtrans Net,” 2024). Similarly, Jayawardene and Kalansooriya design a deep learning system for freestyle stroke posture analysis that extracts keypoints from video and feeds them into an LSTM classifier to distinguish correct from incorrect technique with around 85% accuracy (Jayawardene &amp; Kalansooriya, 2024). However, existing systems typically target whole-stroke classification, rely on supervised labels, and often provide binary or coarse feedback. They rarely focus specifically on lower-limb mechanics in breaststroke or use reinforcement learning to learn a continuous, reward-based evaluation of kick quality from pose-derived state trajectories. This leaves a clear gap for an approach that combines swimming-specific pose estimation, careful handling of domain shift, and RL-style reward design to build a more nuanced, adaptable evaluator of breaststroke kick technique that can operate with school-level video data and limited annotations.</w:t>
      </w:r>
    </w:p>
    <w:p w14:paraId="098EB519" w14:textId="77777777" w:rsidR="004839BD" w:rsidRPr="00B16C47" w:rsidRDefault="004839BD">
      <w:pPr>
        <w:rPr>
          <w:rFonts w:hint="eastAsia"/>
          <w:lang w:val="en-CN"/>
        </w:rPr>
      </w:pPr>
    </w:p>
    <w:sectPr w:rsidR="004839BD" w:rsidRPr="00B16C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F6"/>
    <w:rsid w:val="004839BD"/>
    <w:rsid w:val="006C514E"/>
    <w:rsid w:val="008D3BD3"/>
    <w:rsid w:val="00B16C47"/>
    <w:rsid w:val="00CF22F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CD7980"/>
  <w15:chartTrackingRefBased/>
  <w15:docId w15:val="{73A132B6-09CB-8F45-BD79-F8145F81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lang w:val="en-US"/>
      <w14:ligatures w14:val="none"/>
    </w:rPr>
  </w:style>
  <w:style w:type="paragraph" w:styleId="Heading1">
    <w:name w:val="heading 1"/>
    <w:basedOn w:val="Normal"/>
    <w:next w:val="Normal"/>
    <w:link w:val="Heading1Char"/>
    <w:uiPriority w:val="9"/>
    <w:qFormat/>
    <w:rsid w:val="00CF2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2F6"/>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CF22F6"/>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CF22F6"/>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CF22F6"/>
    <w:rPr>
      <w:rFonts w:eastAsiaTheme="majorEastAsia" w:cstheme="majorBidi"/>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CF22F6"/>
    <w:rPr>
      <w:rFonts w:eastAsiaTheme="majorEastAsia" w:cstheme="majorBidi"/>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CF22F6"/>
    <w:rPr>
      <w:rFonts w:eastAsiaTheme="majorEastAsia"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CF22F6"/>
    <w:rPr>
      <w:rFonts w:eastAsiaTheme="majorEastAsia"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CF22F6"/>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CF22F6"/>
    <w:rPr>
      <w:rFonts w:eastAsiaTheme="majorEastAsia" w:cstheme="majorBidi"/>
      <w:color w:val="272727" w:themeColor="text1" w:themeTint="D8"/>
      <w:kern w:val="0"/>
      <w:lang w:val="en-US"/>
      <w14:ligatures w14:val="none"/>
    </w:rPr>
  </w:style>
  <w:style w:type="paragraph" w:styleId="Title">
    <w:name w:val="Title"/>
    <w:basedOn w:val="Normal"/>
    <w:next w:val="Normal"/>
    <w:link w:val="TitleChar"/>
    <w:uiPriority w:val="10"/>
    <w:qFormat/>
    <w:rsid w:val="00CF22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2F6"/>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CF22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2F6"/>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CF22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2F6"/>
    <w:rPr>
      <w:i/>
      <w:iCs/>
      <w:color w:val="404040" w:themeColor="text1" w:themeTint="BF"/>
      <w:kern w:val="0"/>
      <w:lang w:val="en-US"/>
      <w14:ligatures w14:val="none"/>
    </w:rPr>
  </w:style>
  <w:style w:type="paragraph" w:styleId="ListParagraph">
    <w:name w:val="List Paragraph"/>
    <w:basedOn w:val="Normal"/>
    <w:uiPriority w:val="34"/>
    <w:qFormat/>
    <w:rsid w:val="00CF22F6"/>
    <w:pPr>
      <w:ind w:left="720"/>
      <w:contextualSpacing/>
    </w:pPr>
  </w:style>
  <w:style w:type="character" w:styleId="IntenseEmphasis">
    <w:name w:val="Intense Emphasis"/>
    <w:basedOn w:val="DefaultParagraphFont"/>
    <w:uiPriority w:val="21"/>
    <w:qFormat/>
    <w:rsid w:val="00CF22F6"/>
    <w:rPr>
      <w:i/>
      <w:iCs/>
      <w:color w:val="0F4761" w:themeColor="accent1" w:themeShade="BF"/>
    </w:rPr>
  </w:style>
  <w:style w:type="paragraph" w:styleId="IntenseQuote">
    <w:name w:val="Intense Quote"/>
    <w:basedOn w:val="Normal"/>
    <w:next w:val="Normal"/>
    <w:link w:val="IntenseQuoteChar"/>
    <w:uiPriority w:val="30"/>
    <w:qFormat/>
    <w:rsid w:val="00CF2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2F6"/>
    <w:rPr>
      <w:i/>
      <w:iCs/>
      <w:color w:val="0F4761" w:themeColor="accent1" w:themeShade="BF"/>
      <w:kern w:val="0"/>
      <w:lang w:val="en-US"/>
      <w14:ligatures w14:val="none"/>
    </w:rPr>
  </w:style>
  <w:style w:type="character" w:styleId="IntenseReference">
    <w:name w:val="Intense Reference"/>
    <w:basedOn w:val="DefaultParagraphFont"/>
    <w:uiPriority w:val="32"/>
    <w:qFormat/>
    <w:rsid w:val="00CF22F6"/>
    <w:rPr>
      <w:b/>
      <w:bCs/>
      <w:smallCaps/>
      <w:color w:val="0F4761" w:themeColor="accent1" w:themeShade="BF"/>
      <w:spacing w:val="5"/>
    </w:rPr>
  </w:style>
  <w:style w:type="paragraph" w:styleId="NormalWeb">
    <w:name w:val="Normal (Web)"/>
    <w:basedOn w:val="Normal"/>
    <w:uiPriority w:val="99"/>
    <w:semiHidden/>
    <w:unhideWhenUsed/>
    <w:rsid w:val="00B16C47"/>
    <w:pPr>
      <w:spacing w:before="100" w:beforeAutospacing="1" w:after="100" w:afterAutospacing="1"/>
    </w:pPr>
    <w:rPr>
      <w:rFonts w:ascii="Times New Roman" w:eastAsia="Times New Roman" w:hAnsi="Times New Roman" w:cs="Times New Roman"/>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27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Huang (HSS 2027)</dc:creator>
  <cp:keywords/>
  <dc:description/>
  <cp:lastModifiedBy>Haoyu Huang (HSS 2027)</cp:lastModifiedBy>
  <cp:revision>2</cp:revision>
  <dcterms:created xsi:type="dcterms:W3CDTF">2026-01-20T00:35:00Z</dcterms:created>
  <dcterms:modified xsi:type="dcterms:W3CDTF">2026-01-20T00:36:00Z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4c4afa-7e58-4b71-a825-8021dd1be439_Enabled">
    <vt:lpwstr>true</vt:lpwstr>
  </property>
  <property fmtid="{D5CDD505-2E9C-101B-9397-08002B2CF9AE}" pid="3" name="MSIP_Label_704c4afa-7e58-4b71-a825-8021dd1be439_SetDate">
    <vt:lpwstr>2026-01-20T00:36:13Z</vt:lpwstr>
  </property>
  <property fmtid="{D5CDD505-2E9C-101B-9397-08002B2CF9AE}" pid="4" name="MSIP_Label_704c4afa-7e58-4b71-a825-8021dd1be439_Method">
    <vt:lpwstr>Standard</vt:lpwstr>
  </property>
  <property fmtid="{D5CDD505-2E9C-101B-9397-08002B2CF9AE}" pid="5" name="MSIP_Label_704c4afa-7e58-4b71-a825-8021dd1be439_Name">
    <vt:lpwstr>Staff Only Level</vt:lpwstr>
  </property>
  <property fmtid="{D5CDD505-2E9C-101B-9397-08002B2CF9AE}" pid="6" name="MSIP_Label_704c4afa-7e58-4b71-a825-8021dd1be439_SiteId">
    <vt:lpwstr>e0567466-186a-4dd7-9eaa-b9bb1a8a982e</vt:lpwstr>
  </property>
  <property fmtid="{D5CDD505-2E9C-101B-9397-08002B2CF9AE}" pid="7" name="MSIP_Label_704c4afa-7e58-4b71-a825-8021dd1be439_ActionId">
    <vt:lpwstr>515e2882-ed8b-4e33-b6d0-7fb9d4d0496d</vt:lpwstr>
  </property>
  <property fmtid="{D5CDD505-2E9C-101B-9397-08002B2CF9AE}" pid="8" name="MSIP_Label_704c4afa-7e58-4b71-a825-8021dd1be439_ContentBits">
    <vt:lpwstr>0</vt:lpwstr>
  </property>
  <property fmtid="{D5CDD505-2E9C-101B-9397-08002B2CF9AE}" pid="9" name="MSIP_Label_704c4afa-7e58-4b71-a825-8021dd1be439_Tag">
    <vt:lpwstr>50, 3, 0, 1</vt:lpwstr>
  </property>
</Properties>
</file>