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Alejandro Quezada</w:t>
      </w:r>
    </w:p>
    <w:p w:rsidR="00000000" w:rsidDel="00000000" w:rsidP="00000000" w:rsidRDefault="00000000" w:rsidRPr="00000000" w14:paraId="00000002">
      <w:pPr>
        <w:rPr>
          <w:b w:val="1"/>
        </w:rPr>
      </w:pPr>
      <w:r w:rsidDel="00000000" w:rsidR="00000000" w:rsidRPr="00000000">
        <w:rPr>
          <w:rtl w:val="0"/>
        </w:rPr>
        <w:t xml:space="preserve">Module 6.2 - Assignment: </w:t>
      </w:r>
      <w:r w:rsidDel="00000000" w:rsidR="00000000" w:rsidRPr="00000000">
        <w:rPr>
          <w:b w:val="1"/>
          <w:rtl w:val="0"/>
        </w:rPr>
        <w:t xml:space="preserve">Strangler Pattern at Blackboard Learn (2011)</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Read the case study presented in Chapter 13 of the course text and compose a brief summary of the main points the author made as well as the lessons learned.</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They were still utilizing a codebase that existed since 1997 which has led to some issues throughout the years. Some of the issues they faced were more errors occurring, code becoming too complex, feedback took way too long, and the commits were less frequent. This led to them re architecturing their code and were able to be more productive due to the use of building blocks. The best part of it is that errors were not a huge deal as they were since the code is no longer a single unit.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