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B8A9F" w14:textId="77777777" w:rsidR="00A73B1E" w:rsidRDefault="00A73B1E" w:rsidP="00A73B1E">
      <w:pPr>
        <w:jc w:val="center"/>
        <w:rPr>
          <w:rFonts w:eastAsia="Calibri"/>
          <w:b/>
          <w:bCs w:val="0"/>
          <w:color w:val="000000" w:themeColor="text1"/>
        </w:rPr>
      </w:pPr>
      <w:r>
        <w:rPr>
          <w:rFonts w:eastAsia="Calibri"/>
          <w:b/>
          <w:color w:val="000000" w:themeColor="text1"/>
        </w:rPr>
        <w:t>Biodiversity Credits</w:t>
      </w:r>
    </w:p>
    <w:p w14:paraId="1B01BEE5" w14:textId="77777777" w:rsidR="00A73B1E" w:rsidRPr="006E1CEA" w:rsidRDefault="00A73B1E" w:rsidP="00A73B1E">
      <w:pPr>
        <w:rPr>
          <w:rFonts w:eastAsia="Calibri"/>
          <w:b/>
          <w:bCs w:val="0"/>
          <w:color w:val="000000" w:themeColor="text1"/>
        </w:rPr>
      </w:pPr>
      <w:r w:rsidRPr="006E1CEA">
        <w:rPr>
          <w:rFonts w:eastAsia="Calibri"/>
          <w:b/>
          <w:color w:val="000000" w:themeColor="text1"/>
        </w:rPr>
        <w:t>What Are Biodiversity Credits?</w:t>
      </w:r>
    </w:p>
    <w:p w14:paraId="2D051575" w14:textId="77777777" w:rsidR="00A73B1E" w:rsidRPr="006E1CEA" w:rsidRDefault="00A73B1E" w:rsidP="00A73B1E">
      <w:pPr>
        <w:jc w:val="both"/>
        <w:rPr>
          <w:rFonts w:eastAsia="Calibri"/>
          <w:color w:val="000000" w:themeColor="text1"/>
        </w:rPr>
      </w:pPr>
      <w:r w:rsidRPr="006E1CEA">
        <w:rPr>
          <w:rFonts w:eastAsia="Calibri"/>
          <w:color w:val="000000" w:themeColor="text1"/>
        </w:rPr>
        <w:t>Biodiversity credits are a</w:t>
      </w:r>
      <w:r>
        <w:rPr>
          <w:rFonts w:eastAsia="Calibri"/>
          <w:color w:val="000000" w:themeColor="text1"/>
        </w:rPr>
        <w:t>n innovative</w:t>
      </w:r>
      <w:r w:rsidRPr="006E1CEA">
        <w:rPr>
          <w:rFonts w:eastAsia="Calibri"/>
          <w:color w:val="000000" w:themeColor="text1"/>
        </w:rPr>
        <w:t xml:space="preserve"> financial instrument designed to promote the conservation and restoration of natural ecosystems. These credits represent the quantified positive impact on biodiversity resulting from specific conservation actions, such as coral reef restoration projects. By purchasing biodiversity credits, companies and individuals can contribute directly to preserving biodiversity and mitigating environmental impacts.</w:t>
      </w:r>
    </w:p>
    <w:p w14:paraId="3715012C" w14:textId="77777777" w:rsidR="00A73B1E" w:rsidRPr="006E1CEA" w:rsidRDefault="00A73B1E" w:rsidP="00A73B1E">
      <w:pPr>
        <w:rPr>
          <w:rFonts w:eastAsia="Calibri"/>
          <w:b/>
          <w:bCs w:val="0"/>
          <w:color w:val="000000" w:themeColor="text1"/>
        </w:rPr>
      </w:pPr>
      <w:r>
        <w:rPr>
          <w:rFonts w:eastAsia="Calibri"/>
          <w:b/>
          <w:color w:val="000000" w:themeColor="text1"/>
        </w:rPr>
        <w:t xml:space="preserve">Why are they important? </w:t>
      </w:r>
    </w:p>
    <w:p w14:paraId="3BDABC64" w14:textId="77777777" w:rsidR="00A73B1E" w:rsidRPr="006E1CEA" w:rsidRDefault="00A73B1E" w:rsidP="00A73B1E">
      <w:pPr>
        <w:jc w:val="both"/>
        <w:rPr>
          <w:rFonts w:eastAsia="Calibri"/>
          <w:color w:val="000000" w:themeColor="text1"/>
        </w:rPr>
      </w:pPr>
      <w:r w:rsidRPr="006E1CEA">
        <w:rPr>
          <w:rFonts w:eastAsia="Calibri"/>
          <w:color w:val="000000" w:themeColor="text1"/>
        </w:rPr>
        <w:t>Biodiversity credits play a crucial role in conservation efforts by providing a sustainable funding mechanism for long-term environmental projects. They enable businesses to demonstrate their commitment to achieve Nature-positive outcomes. In addition, biodiversity credits help raise awareness about the importance of conserving vital ecosystems like coral reefs, which are essential for maintaining marine biodiversity, supporting fisheries, and protecting coastal communities from storm surges.</w:t>
      </w:r>
    </w:p>
    <w:p w14:paraId="517A2623" w14:textId="77777777" w:rsidR="00A73B1E" w:rsidRPr="006E1CEA" w:rsidRDefault="00A73B1E" w:rsidP="00A73B1E">
      <w:pPr>
        <w:rPr>
          <w:rFonts w:eastAsia="Calibri"/>
          <w:b/>
          <w:bCs w:val="0"/>
          <w:color w:val="000000" w:themeColor="text1"/>
        </w:rPr>
      </w:pPr>
      <w:r w:rsidRPr="006E1CEA">
        <w:rPr>
          <w:rFonts w:eastAsia="Calibri"/>
          <w:b/>
          <w:color w:val="000000" w:themeColor="text1"/>
        </w:rPr>
        <w:t>How It Works</w:t>
      </w:r>
      <w:r>
        <w:rPr>
          <w:rFonts w:eastAsia="Calibri"/>
          <w:b/>
          <w:color w:val="000000" w:themeColor="text1"/>
        </w:rPr>
        <w:t xml:space="preserve">: </w:t>
      </w:r>
    </w:p>
    <w:p w14:paraId="5615F670" w14:textId="77777777" w:rsidR="00A73B1E" w:rsidRPr="006E1CEA" w:rsidRDefault="00A73B1E" w:rsidP="00A73B1E">
      <w:pPr>
        <w:numPr>
          <w:ilvl w:val="0"/>
          <w:numId w:val="2"/>
        </w:numPr>
        <w:tabs>
          <w:tab w:val="num" w:pos="720"/>
        </w:tabs>
        <w:jc w:val="both"/>
        <w:rPr>
          <w:rFonts w:eastAsia="Calibri"/>
          <w:color w:val="000000" w:themeColor="text1"/>
        </w:rPr>
      </w:pPr>
      <w:r w:rsidRPr="006E1CEA">
        <w:rPr>
          <w:rFonts w:eastAsia="Calibri"/>
          <w:b/>
          <w:color w:val="000000" w:themeColor="text1"/>
        </w:rPr>
        <w:t xml:space="preserve">Project </w:t>
      </w:r>
      <w:r>
        <w:rPr>
          <w:rFonts w:eastAsia="Calibri"/>
          <w:b/>
          <w:color w:val="000000" w:themeColor="text1"/>
        </w:rPr>
        <w:t>Development</w:t>
      </w:r>
      <w:r w:rsidRPr="006E1CEA">
        <w:rPr>
          <w:rFonts w:eastAsia="Calibri"/>
          <w:color w:val="000000" w:themeColor="text1"/>
        </w:rPr>
        <w:t>: Our coral reef restoration projects are strategically located in Mexico, chosen for their high biodiversity value and ecological significance. Each project begins with thorough research and planning to ensure maximum impact.</w:t>
      </w:r>
    </w:p>
    <w:p w14:paraId="239C0BD8" w14:textId="77777777" w:rsidR="00A73B1E" w:rsidRPr="006E1CEA" w:rsidRDefault="00A73B1E" w:rsidP="00A73B1E">
      <w:pPr>
        <w:numPr>
          <w:ilvl w:val="0"/>
          <w:numId w:val="2"/>
        </w:numPr>
        <w:tabs>
          <w:tab w:val="num" w:pos="720"/>
        </w:tabs>
        <w:jc w:val="both"/>
        <w:rPr>
          <w:rFonts w:eastAsia="Calibri"/>
          <w:color w:val="000000" w:themeColor="text1"/>
        </w:rPr>
      </w:pPr>
      <w:r w:rsidRPr="006E1CEA">
        <w:rPr>
          <w:rFonts w:eastAsia="Calibri"/>
          <w:b/>
          <w:color w:val="000000" w:themeColor="text1"/>
        </w:rPr>
        <w:t>Credit Issuance</w:t>
      </w:r>
      <w:r w:rsidRPr="006E1CEA">
        <w:rPr>
          <w:rFonts w:eastAsia="Calibri"/>
          <w:color w:val="000000" w:themeColor="text1"/>
        </w:rPr>
        <w:t>: As restoration progress</w:t>
      </w:r>
      <w:r>
        <w:rPr>
          <w:rFonts w:eastAsia="Calibri"/>
          <w:color w:val="000000" w:themeColor="text1"/>
        </w:rPr>
        <w:t>es</w:t>
      </w:r>
      <w:r w:rsidRPr="006E1CEA">
        <w:rPr>
          <w:rFonts w:eastAsia="Calibri"/>
          <w:color w:val="000000" w:themeColor="text1"/>
        </w:rPr>
        <w:t>, we</w:t>
      </w:r>
      <w:r>
        <w:rPr>
          <w:rFonts w:eastAsia="Calibri"/>
          <w:color w:val="000000" w:themeColor="text1"/>
        </w:rPr>
        <w:t xml:space="preserve"> issue</w:t>
      </w:r>
      <w:r w:rsidRPr="006E1CEA">
        <w:rPr>
          <w:rFonts w:eastAsia="Calibri"/>
          <w:color w:val="000000" w:themeColor="text1"/>
        </w:rPr>
        <w:t xml:space="preserve"> biodiversity credits based on the measurable improvements in the health and diversity of the coral reefs</w:t>
      </w:r>
      <w:r>
        <w:rPr>
          <w:rFonts w:eastAsia="Calibri"/>
          <w:color w:val="000000" w:themeColor="text1"/>
        </w:rPr>
        <w:t>, as well as the increasing number of species found in the habitat</w:t>
      </w:r>
      <w:r w:rsidRPr="006E1CEA">
        <w:rPr>
          <w:rFonts w:eastAsia="Calibri"/>
          <w:color w:val="000000" w:themeColor="text1"/>
        </w:rPr>
        <w:t>. The credits are verified by independent third parties to ensure transparency and credibility.</w:t>
      </w:r>
    </w:p>
    <w:p w14:paraId="347F1930" w14:textId="77777777" w:rsidR="00A73B1E" w:rsidRPr="006E1CEA" w:rsidRDefault="00A73B1E" w:rsidP="00A73B1E">
      <w:pPr>
        <w:numPr>
          <w:ilvl w:val="0"/>
          <w:numId w:val="2"/>
        </w:numPr>
        <w:tabs>
          <w:tab w:val="num" w:pos="720"/>
        </w:tabs>
        <w:jc w:val="both"/>
        <w:rPr>
          <w:rFonts w:eastAsia="Calibri"/>
          <w:color w:val="000000" w:themeColor="text1"/>
        </w:rPr>
      </w:pPr>
      <w:r w:rsidRPr="006E1CEA">
        <w:rPr>
          <w:rFonts w:eastAsia="Calibri"/>
          <w:b/>
          <w:color w:val="000000" w:themeColor="text1"/>
        </w:rPr>
        <w:t>Purchase and Investment</w:t>
      </w:r>
      <w:r w:rsidRPr="006E1CEA">
        <w:rPr>
          <w:rFonts w:eastAsia="Calibri"/>
          <w:color w:val="000000" w:themeColor="text1"/>
        </w:rPr>
        <w:t xml:space="preserve">: </w:t>
      </w:r>
      <w:r>
        <w:rPr>
          <w:rFonts w:eastAsia="Calibri"/>
          <w:color w:val="000000" w:themeColor="text1"/>
        </w:rPr>
        <w:t>Businesses</w:t>
      </w:r>
      <w:r w:rsidRPr="006E1CEA">
        <w:rPr>
          <w:rFonts w:eastAsia="Calibri"/>
          <w:color w:val="000000" w:themeColor="text1"/>
        </w:rPr>
        <w:t xml:space="preserve"> looking to become Nature-positive</w:t>
      </w:r>
      <w:r>
        <w:rPr>
          <w:rFonts w:eastAsia="Calibri"/>
          <w:color w:val="000000" w:themeColor="text1"/>
        </w:rPr>
        <w:t xml:space="preserve"> are encouraged to</w:t>
      </w:r>
      <w:r w:rsidRPr="006E1CEA">
        <w:rPr>
          <w:rFonts w:eastAsia="Calibri"/>
          <w:color w:val="000000" w:themeColor="text1"/>
        </w:rPr>
        <w:t xml:space="preserve"> purchase </w:t>
      </w:r>
      <w:r>
        <w:rPr>
          <w:rFonts w:eastAsia="Calibri"/>
          <w:color w:val="000000" w:themeColor="text1"/>
        </w:rPr>
        <w:t>our</w:t>
      </w:r>
      <w:r w:rsidRPr="006E1CEA">
        <w:rPr>
          <w:rFonts w:eastAsia="Calibri"/>
          <w:color w:val="000000" w:themeColor="text1"/>
        </w:rPr>
        <w:t xml:space="preserve"> biodiversity credits. The funds from the sales are directly reinvested into our ongoing and future restoration projects, creating a sustainable financing loop,</w:t>
      </w:r>
      <w:r>
        <w:rPr>
          <w:rFonts w:eastAsia="Calibri"/>
          <w:color w:val="000000" w:themeColor="text1"/>
        </w:rPr>
        <w:t xml:space="preserve"> and scaling the environmental impact</w:t>
      </w:r>
      <w:r w:rsidRPr="006E1CEA">
        <w:rPr>
          <w:rFonts w:eastAsia="Calibri"/>
          <w:color w:val="000000" w:themeColor="text1"/>
        </w:rPr>
        <w:t>.</w:t>
      </w:r>
    </w:p>
    <w:p w14:paraId="0AF6175D" w14:textId="77777777" w:rsidR="00A73B1E" w:rsidRPr="006E1CEA" w:rsidRDefault="00A73B1E" w:rsidP="00A73B1E">
      <w:pPr>
        <w:numPr>
          <w:ilvl w:val="0"/>
          <w:numId w:val="2"/>
        </w:numPr>
        <w:tabs>
          <w:tab w:val="num" w:pos="720"/>
        </w:tabs>
        <w:jc w:val="both"/>
        <w:rPr>
          <w:rFonts w:eastAsia="Calibri"/>
          <w:color w:val="000000" w:themeColor="text1"/>
        </w:rPr>
      </w:pPr>
      <w:r w:rsidRPr="006E1CEA">
        <w:rPr>
          <w:rFonts w:eastAsia="Calibri"/>
          <w:b/>
          <w:color w:val="000000" w:themeColor="text1"/>
        </w:rPr>
        <w:t>Impact Reporting</w:t>
      </w:r>
      <w:r w:rsidRPr="006E1CEA">
        <w:rPr>
          <w:rFonts w:eastAsia="Calibri"/>
          <w:color w:val="000000" w:themeColor="text1"/>
        </w:rPr>
        <w:t xml:space="preserve">: Buyers of </w:t>
      </w:r>
      <w:r>
        <w:rPr>
          <w:rFonts w:eastAsia="Calibri"/>
          <w:color w:val="000000" w:themeColor="text1"/>
        </w:rPr>
        <w:t xml:space="preserve">our </w:t>
      </w:r>
      <w:r w:rsidRPr="006E1CEA">
        <w:rPr>
          <w:rFonts w:eastAsia="Calibri"/>
          <w:color w:val="000000" w:themeColor="text1"/>
        </w:rPr>
        <w:t xml:space="preserve">biodiversity credits </w:t>
      </w:r>
      <w:r>
        <w:rPr>
          <w:rFonts w:eastAsia="Calibri"/>
          <w:color w:val="000000" w:themeColor="text1"/>
        </w:rPr>
        <w:t xml:space="preserve">will </w:t>
      </w:r>
      <w:r w:rsidRPr="006E1CEA">
        <w:rPr>
          <w:rFonts w:eastAsia="Calibri"/>
          <w:color w:val="000000" w:themeColor="text1"/>
        </w:rPr>
        <w:t>receive detailed reports on the ecological impact of their investment. The</w:t>
      </w:r>
      <w:r>
        <w:rPr>
          <w:rFonts w:eastAsia="Calibri"/>
          <w:color w:val="000000" w:themeColor="text1"/>
        </w:rPr>
        <w:t xml:space="preserve"> </w:t>
      </w:r>
      <w:r w:rsidRPr="006E1CEA">
        <w:rPr>
          <w:rFonts w:eastAsia="Calibri"/>
          <w:color w:val="000000" w:themeColor="text1"/>
        </w:rPr>
        <w:t>reports include metrics on biodiversity enhancement, coral health, and the broader benefits to marine life and local communities.</w:t>
      </w:r>
    </w:p>
    <w:p w14:paraId="1DEB04DB" w14:textId="77777777" w:rsidR="00A73B1E" w:rsidRPr="006E1CEA" w:rsidRDefault="00A73B1E" w:rsidP="00A73B1E">
      <w:pPr>
        <w:numPr>
          <w:ilvl w:val="0"/>
          <w:numId w:val="2"/>
        </w:numPr>
        <w:tabs>
          <w:tab w:val="num" w:pos="720"/>
        </w:tabs>
        <w:jc w:val="both"/>
        <w:rPr>
          <w:rFonts w:eastAsia="Calibri"/>
          <w:color w:val="000000" w:themeColor="text1"/>
        </w:rPr>
      </w:pPr>
      <w:r w:rsidRPr="006E1CEA">
        <w:rPr>
          <w:rFonts w:eastAsia="Calibri"/>
          <w:b/>
          <w:color w:val="000000" w:themeColor="text1"/>
        </w:rPr>
        <w:t>Long-Term Benefits</w:t>
      </w:r>
      <w:r w:rsidRPr="006E1CEA">
        <w:rPr>
          <w:rFonts w:eastAsia="Calibri"/>
          <w:color w:val="000000" w:themeColor="text1"/>
        </w:rPr>
        <w:t xml:space="preserve">: By investing in biodiversity credits, companies </w:t>
      </w:r>
      <w:r>
        <w:rPr>
          <w:rFonts w:eastAsia="Calibri"/>
          <w:color w:val="000000" w:themeColor="text1"/>
        </w:rPr>
        <w:t xml:space="preserve">can </w:t>
      </w:r>
      <w:r w:rsidRPr="006E1CEA">
        <w:rPr>
          <w:rFonts w:eastAsia="Calibri"/>
          <w:color w:val="000000" w:themeColor="text1"/>
        </w:rPr>
        <w:t>not only offset their environmental footprint but also contribute to the resilience of vital ecosystems. This investment helps protect biodiversity, supports local economies, and promotes global environmental health.</w:t>
      </w:r>
    </w:p>
    <w:p w14:paraId="5C2616A1" w14:textId="77777777" w:rsidR="00A73B1E" w:rsidRDefault="00A73B1E" w:rsidP="00A73B1E">
      <w:pPr>
        <w:rPr>
          <w:rFonts w:eastAsia="Calibri"/>
          <w:color w:val="000000" w:themeColor="text1"/>
        </w:rPr>
      </w:pPr>
      <w:r w:rsidRPr="006E1CEA">
        <w:rPr>
          <w:rFonts w:eastAsia="Calibri"/>
          <w:color w:val="000000" w:themeColor="text1"/>
        </w:rPr>
        <w:t>By participating in this innovative approach to conservation, businesses can align their sustainability goals with tangible environmental outcomes, fostering a healthier planet for future generations.</w:t>
      </w:r>
    </w:p>
    <w:p w14:paraId="3C3F0CDC" w14:textId="77777777" w:rsidR="00A73B1E" w:rsidRPr="008810A7" w:rsidRDefault="00A73B1E" w:rsidP="00A73B1E">
      <w:pPr>
        <w:rPr>
          <w:rFonts w:eastAsia="Calibri"/>
          <w:b/>
          <w:bCs w:val="0"/>
          <w:color w:val="000000" w:themeColor="text1"/>
        </w:rPr>
      </w:pPr>
      <w:r w:rsidRPr="008810A7">
        <w:rPr>
          <w:rFonts w:eastAsia="Calibri"/>
          <w:b/>
          <w:color w:val="000000" w:themeColor="text1"/>
        </w:rPr>
        <w:t xml:space="preserve">How much do the credits cost? </w:t>
      </w:r>
    </w:p>
    <w:p w14:paraId="59DD1CC0" w14:textId="77777777" w:rsidR="00A73B1E" w:rsidRPr="003D6423" w:rsidRDefault="00A73B1E" w:rsidP="00A73B1E">
      <w:pPr>
        <w:rPr>
          <w:rFonts w:eastAsia="Calibri"/>
          <w:color w:val="000000" w:themeColor="text1"/>
        </w:rPr>
      </w:pPr>
      <w:r w:rsidRPr="003D6423">
        <w:rPr>
          <w:rFonts w:eastAsia="Calibri"/>
          <w:color w:val="000000" w:themeColor="text1"/>
        </w:rPr>
        <w:t>We believe in transparency and simplicity when it comes to pricing our biodiversity credits. Our pricing structure is designed to reflect the true value of the positive environmental impact your investment will generate.</w:t>
      </w:r>
    </w:p>
    <w:p w14:paraId="12A4E0DF" w14:textId="77777777" w:rsidR="00A73B1E" w:rsidRPr="003D6423" w:rsidRDefault="00A73B1E" w:rsidP="00A73B1E">
      <w:pPr>
        <w:rPr>
          <w:rFonts w:eastAsia="Calibri"/>
          <w:color w:val="000000" w:themeColor="text1"/>
        </w:rPr>
      </w:pPr>
      <w:r w:rsidRPr="003D6423">
        <w:rPr>
          <w:rFonts w:eastAsia="Calibri"/>
          <w:b/>
          <w:color w:val="000000" w:themeColor="text1"/>
        </w:rPr>
        <w:t>Biodiversity Credit Price</w:t>
      </w:r>
      <w:r w:rsidRPr="003D6423">
        <w:rPr>
          <w:rFonts w:eastAsia="Calibri"/>
          <w:color w:val="000000" w:themeColor="text1"/>
        </w:rPr>
        <w:t>: $50 per credit</w:t>
      </w:r>
    </w:p>
    <w:p w14:paraId="5A538CCC" w14:textId="77777777" w:rsidR="00A73B1E" w:rsidRPr="003D6423" w:rsidRDefault="00A73B1E" w:rsidP="00A73B1E">
      <w:pPr>
        <w:rPr>
          <w:rFonts w:eastAsia="Calibri"/>
          <w:color w:val="000000" w:themeColor="text1"/>
        </w:rPr>
      </w:pPr>
      <w:r w:rsidRPr="003D6423">
        <w:rPr>
          <w:rFonts w:eastAsia="Calibri"/>
          <w:color w:val="000000" w:themeColor="text1"/>
        </w:rPr>
        <w:lastRenderedPageBreak/>
        <w:t>Each biodiversity credit represents the restoration and protection of a specific area of coral reef, verified by independent third parties. The funds generated from the sale of these credits are directly reinvested into our coral reef restoration projects in Mexico, ensuring long-term sustainability and environmental impact.</w:t>
      </w:r>
    </w:p>
    <w:p w14:paraId="524D5A61" w14:textId="77777777" w:rsidR="00A73B1E" w:rsidRPr="003D6423" w:rsidRDefault="00A73B1E" w:rsidP="00A73B1E">
      <w:pPr>
        <w:rPr>
          <w:rFonts w:eastAsia="Calibri"/>
          <w:b/>
          <w:bCs w:val="0"/>
          <w:color w:val="000000" w:themeColor="text1"/>
        </w:rPr>
      </w:pPr>
      <w:r w:rsidRPr="003D6423">
        <w:rPr>
          <w:rFonts w:eastAsia="Calibri"/>
          <w:b/>
          <w:color w:val="000000" w:themeColor="text1"/>
        </w:rPr>
        <w:t>Volume Discounts</w:t>
      </w:r>
      <w:r w:rsidRPr="003D6423">
        <w:rPr>
          <w:rFonts w:eastAsia="Calibri"/>
          <w:color w:val="000000" w:themeColor="text1"/>
        </w:rPr>
        <w:t>: For large-scale investments, we offer volume discounts:</w:t>
      </w:r>
    </w:p>
    <w:p w14:paraId="7C912722" w14:textId="77777777" w:rsidR="00A73B1E" w:rsidRPr="003D6423" w:rsidRDefault="00A73B1E" w:rsidP="00A73B1E">
      <w:pPr>
        <w:numPr>
          <w:ilvl w:val="1"/>
          <w:numId w:val="3"/>
        </w:numPr>
        <w:spacing w:after="0"/>
        <w:rPr>
          <w:rFonts w:eastAsia="Calibri"/>
          <w:color w:val="000000" w:themeColor="text1"/>
        </w:rPr>
      </w:pPr>
      <w:r w:rsidRPr="003D6423">
        <w:rPr>
          <w:rFonts w:eastAsia="Calibri"/>
          <w:color w:val="000000" w:themeColor="text1"/>
        </w:rPr>
        <w:t>100-499 credits: $48 per credit</w:t>
      </w:r>
    </w:p>
    <w:p w14:paraId="679732C5" w14:textId="77777777" w:rsidR="00A73B1E" w:rsidRPr="003D6423" w:rsidRDefault="00A73B1E" w:rsidP="00A73B1E">
      <w:pPr>
        <w:numPr>
          <w:ilvl w:val="1"/>
          <w:numId w:val="3"/>
        </w:numPr>
        <w:spacing w:after="0"/>
        <w:rPr>
          <w:rFonts w:eastAsia="Calibri"/>
          <w:color w:val="000000" w:themeColor="text1"/>
        </w:rPr>
      </w:pPr>
      <w:r w:rsidRPr="003D6423">
        <w:rPr>
          <w:rFonts w:eastAsia="Calibri"/>
          <w:color w:val="000000" w:themeColor="text1"/>
        </w:rPr>
        <w:t>500-999 credits: $45 per credit</w:t>
      </w:r>
    </w:p>
    <w:p w14:paraId="2E838D4E" w14:textId="77777777" w:rsidR="00A73B1E" w:rsidRPr="003D6423" w:rsidRDefault="00A73B1E" w:rsidP="00A73B1E">
      <w:pPr>
        <w:numPr>
          <w:ilvl w:val="1"/>
          <w:numId w:val="3"/>
        </w:numPr>
        <w:spacing w:after="0"/>
        <w:rPr>
          <w:rFonts w:eastAsia="Calibri"/>
          <w:color w:val="000000" w:themeColor="text1"/>
        </w:rPr>
      </w:pPr>
      <w:r w:rsidRPr="003D6423">
        <w:rPr>
          <w:rFonts w:eastAsia="Calibri"/>
          <w:color w:val="000000" w:themeColor="text1"/>
        </w:rPr>
        <w:t>1000+ credits: $42 per credit</w:t>
      </w:r>
    </w:p>
    <w:p w14:paraId="07D0A5BB" w14:textId="77777777" w:rsidR="00A73B1E" w:rsidRPr="003D6423" w:rsidRDefault="00A73B1E" w:rsidP="00A73B1E">
      <w:pPr>
        <w:rPr>
          <w:rFonts w:eastAsia="Calibri"/>
          <w:b/>
          <w:bCs w:val="0"/>
          <w:color w:val="000000" w:themeColor="text1"/>
        </w:rPr>
      </w:pPr>
      <w:r w:rsidRPr="003D6423">
        <w:rPr>
          <w:rFonts w:eastAsia="Calibri"/>
          <w:b/>
          <w:color w:val="000000" w:themeColor="text1"/>
        </w:rPr>
        <w:t>What You Get</w:t>
      </w:r>
    </w:p>
    <w:p w14:paraId="6A72B9D8" w14:textId="77777777" w:rsidR="00A73B1E" w:rsidRPr="003D6423" w:rsidRDefault="00A73B1E" w:rsidP="00A73B1E">
      <w:pPr>
        <w:numPr>
          <w:ilvl w:val="0"/>
          <w:numId w:val="4"/>
        </w:numPr>
        <w:tabs>
          <w:tab w:val="num" w:pos="720"/>
        </w:tabs>
        <w:jc w:val="both"/>
        <w:rPr>
          <w:rFonts w:eastAsia="Calibri"/>
          <w:color w:val="000000" w:themeColor="text1"/>
        </w:rPr>
      </w:pPr>
      <w:r w:rsidRPr="003D6423">
        <w:rPr>
          <w:rFonts w:eastAsia="Calibri"/>
          <w:b/>
          <w:color w:val="000000" w:themeColor="text1"/>
        </w:rPr>
        <w:t>Impact Reports</w:t>
      </w:r>
      <w:r w:rsidRPr="003D6423">
        <w:rPr>
          <w:rFonts w:eastAsia="Calibri"/>
          <w:color w:val="000000" w:themeColor="text1"/>
        </w:rPr>
        <w:t>: Detailed reports on the positive impact of your investment, including metrics on biodiversity enhancement, coral health, and benefits to marine life and local communities.</w:t>
      </w:r>
    </w:p>
    <w:p w14:paraId="4E50752D" w14:textId="77777777" w:rsidR="00A73B1E" w:rsidRPr="003D6423" w:rsidRDefault="00A73B1E" w:rsidP="00A73B1E">
      <w:pPr>
        <w:numPr>
          <w:ilvl w:val="0"/>
          <w:numId w:val="4"/>
        </w:numPr>
        <w:tabs>
          <w:tab w:val="num" w:pos="720"/>
        </w:tabs>
        <w:jc w:val="both"/>
        <w:rPr>
          <w:rFonts w:eastAsia="Calibri"/>
          <w:color w:val="000000" w:themeColor="text1"/>
        </w:rPr>
      </w:pPr>
      <w:r w:rsidRPr="003D6423">
        <w:rPr>
          <w:rFonts w:eastAsia="Calibri"/>
          <w:b/>
          <w:color w:val="000000" w:themeColor="text1"/>
        </w:rPr>
        <w:t>Certification</w:t>
      </w:r>
      <w:r w:rsidRPr="003D6423">
        <w:rPr>
          <w:rFonts w:eastAsia="Calibri"/>
          <w:color w:val="000000" w:themeColor="text1"/>
        </w:rPr>
        <w:t>: A certificate acknowledging your contribution to coral reef restoration, suitable for display in your office or for use in sustainability reports.</w:t>
      </w:r>
    </w:p>
    <w:p w14:paraId="7FAC13CA" w14:textId="77777777" w:rsidR="00A73B1E" w:rsidRPr="003D6423" w:rsidRDefault="00A73B1E" w:rsidP="00A73B1E">
      <w:pPr>
        <w:rPr>
          <w:rFonts w:eastAsia="Calibri"/>
          <w:color w:val="000000" w:themeColor="text1"/>
        </w:rPr>
      </w:pPr>
      <w:r w:rsidRPr="003D6423">
        <w:rPr>
          <w:rFonts w:eastAsia="Calibri"/>
          <w:color w:val="000000" w:themeColor="text1"/>
        </w:rPr>
        <w:t xml:space="preserve">Join us in making a meaningful impact on the environment by purchasing biodiversity credits today. For more information or to make a purchase, please </w:t>
      </w:r>
      <w:hyperlink r:id="rId5" w:tgtFrame="_new" w:history="1">
        <w:r w:rsidRPr="003D6423">
          <w:rPr>
            <w:rStyle w:val="Hyperlink"/>
            <w:rFonts w:eastAsia="Calibri"/>
          </w:rPr>
          <w:t>Contact Us</w:t>
        </w:r>
      </w:hyperlink>
      <w:r w:rsidRPr="003D6423">
        <w:rPr>
          <w:rFonts w:eastAsia="Calibri"/>
          <w:color w:val="000000" w:themeColor="text1"/>
        </w:rPr>
        <w:t>.</w:t>
      </w:r>
    </w:p>
    <w:p w14:paraId="2A8D97DE" w14:textId="77777777" w:rsidR="00A73B1E" w:rsidRDefault="00A73B1E"/>
    <w:sectPr w:rsidR="00A73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239C7"/>
    <w:multiLevelType w:val="multilevel"/>
    <w:tmpl w:val="6E2ABA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6543E81"/>
    <w:multiLevelType w:val="hybridMultilevel"/>
    <w:tmpl w:val="FFFFFFFF"/>
    <w:lvl w:ilvl="0" w:tplc="65803518">
      <w:start w:val="1"/>
      <w:numFmt w:val="bullet"/>
      <w:lvlText w:val=""/>
      <w:lvlJc w:val="left"/>
      <w:pPr>
        <w:ind w:left="720" w:hanging="360"/>
      </w:pPr>
      <w:rPr>
        <w:rFonts w:ascii="Symbol" w:hAnsi="Symbol" w:hint="default"/>
      </w:rPr>
    </w:lvl>
    <w:lvl w:ilvl="1" w:tplc="68E47F00">
      <w:start w:val="1"/>
      <w:numFmt w:val="bullet"/>
      <w:lvlText w:val="o"/>
      <w:lvlJc w:val="left"/>
      <w:pPr>
        <w:ind w:left="1440" w:hanging="360"/>
      </w:pPr>
      <w:rPr>
        <w:rFonts w:ascii="Courier New" w:hAnsi="Courier New" w:hint="default"/>
      </w:rPr>
    </w:lvl>
    <w:lvl w:ilvl="2" w:tplc="B762A9B2">
      <w:start w:val="1"/>
      <w:numFmt w:val="bullet"/>
      <w:lvlText w:val=""/>
      <w:lvlJc w:val="left"/>
      <w:pPr>
        <w:ind w:left="2160" w:hanging="360"/>
      </w:pPr>
      <w:rPr>
        <w:rFonts w:ascii="Wingdings" w:hAnsi="Wingdings" w:hint="default"/>
      </w:rPr>
    </w:lvl>
    <w:lvl w:ilvl="3" w:tplc="971CAB1E">
      <w:start w:val="1"/>
      <w:numFmt w:val="bullet"/>
      <w:lvlText w:val=""/>
      <w:lvlJc w:val="left"/>
      <w:pPr>
        <w:ind w:left="2880" w:hanging="360"/>
      </w:pPr>
      <w:rPr>
        <w:rFonts w:ascii="Symbol" w:hAnsi="Symbol" w:hint="default"/>
      </w:rPr>
    </w:lvl>
    <w:lvl w:ilvl="4" w:tplc="2F8C86FC">
      <w:start w:val="1"/>
      <w:numFmt w:val="bullet"/>
      <w:lvlText w:val="o"/>
      <w:lvlJc w:val="left"/>
      <w:pPr>
        <w:ind w:left="3600" w:hanging="360"/>
      </w:pPr>
      <w:rPr>
        <w:rFonts w:ascii="Courier New" w:hAnsi="Courier New" w:hint="default"/>
      </w:rPr>
    </w:lvl>
    <w:lvl w:ilvl="5" w:tplc="E27C2FFA">
      <w:start w:val="1"/>
      <w:numFmt w:val="bullet"/>
      <w:lvlText w:val=""/>
      <w:lvlJc w:val="left"/>
      <w:pPr>
        <w:ind w:left="4320" w:hanging="360"/>
      </w:pPr>
      <w:rPr>
        <w:rFonts w:ascii="Wingdings" w:hAnsi="Wingdings" w:hint="default"/>
      </w:rPr>
    </w:lvl>
    <w:lvl w:ilvl="6" w:tplc="1310C8B2">
      <w:start w:val="1"/>
      <w:numFmt w:val="bullet"/>
      <w:lvlText w:val=""/>
      <w:lvlJc w:val="left"/>
      <w:pPr>
        <w:ind w:left="5040" w:hanging="360"/>
      </w:pPr>
      <w:rPr>
        <w:rFonts w:ascii="Symbol" w:hAnsi="Symbol" w:hint="default"/>
      </w:rPr>
    </w:lvl>
    <w:lvl w:ilvl="7" w:tplc="EAB8505C">
      <w:start w:val="1"/>
      <w:numFmt w:val="bullet"/>
      <w:lvlText w:val="o"/>
      <w:lvlJc w:val="left"/>
      <w:pPr>
        <w:ind w:left="5760" w:hanging="360"/>
      </w:pPr>
      <w:rPr>
        <w:rFonts w:ascii="Courier New" w:hAnsi="Courier New" w:hint="default"/>
      </w:rPr>
    </w:lvl>
    <w:lvl w:ilvl="8" w:tplc="576AF0DE">
      <w:start w:val="1"/>
      <w:numFmt w:val="bullet"/>
      <w:lvlText w:val=""/>
      <w:lvlJc w:val="left"/>
      <w:pPr>
        <w:ind w:left="6480" w:hanging="360"/>
      </w:pPr>
      <w:rPr>
        <w:rFonts w:ascii="Wingdings" w:hAnsi="Wingdings" w:hint="default"/>
      </w:rPr>
    </w:lvl>
  </w:abstractNum>
  <w:abstractNum w:abstractNumId="2" w15:restartNumberingAfterBreak="0">
    <w:nsid w:val="47A70782"/>
    <w:multiLevelType w:val="multilevel"/>
    <w:tmpl w:val="4E42B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64695CE4"/>
    <w:multiLevelType w:val="multilevel"/>
    <w:tmpl w:val="9E2EF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074717">
    <w:abstractNumId w:val="1"/>
  </w:num>
  <w:num w:numId="2" w16cid:durableId="990014462">
    <w:abstractNumId w:val="0"/>
  </w:num>
  <w:num w:numId="3" w16cid:durableId="1312951905">
    <w:abstractNumId w:val="3"/>
  </w:num>
  <w:num w:numId="4" w16cid:durableId="1305769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E1"/>
    <w:rsid w:val="002421BF"/>
    <w:rsid w:val="00461953"/>
    <w:rsid w:val="005246CE"/>
    <w:rsid w:val="006103DE"/>
    <w:rsid w:val="006867E1"/>
    <w:rsid w:val="00871FD0"/>
    <w:rsid w:val="00947D03"/>
    <w:rsid w:val="00A062E5"/>
    <w:rsid w:val="00A73B1E"/>
    <w:rsid w:val="00C02024"/>
    <w:rsid w:val="00C95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B1AB"/>
  <w15:chartTrackingRefBased/>
  <w15:docId w15:val="{A93EBBFA-2F3F-4E34-BF23-B85E7F3E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bC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7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7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867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867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67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67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67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7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7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867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867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67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67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67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6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7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7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67E1"/>
    <w:pPr>
      <w:spacing w:before="160"/>
      <w:jc w:val="center"/>
    </w:pPr>
    <w:rPr>
      <w:i/>
      <w:iCs/>
      <w:color w:val="404040" w:themeColor="text1" w:themeTint="BF"/>
    </w:rPr>
  </w:style>
  <w:style w:type="character" w:customStyle="1" w:styleId="QuoteChar">
    <w:name w:val="Quote Char"/>
    <w:basedOn w:val="DefaultParagraphFont"/>
    <w:link w:val="Quote"/>
    <w:uiPriority w:val="29"/>
    <w:rsid w:val="006867E1"/>
    <w:rPr>
      <w:i/>
      <w:iCs/>
      <w:color w:val="404040" w:themeColor="text1" w:themeTint="BF"/>
    </w:rPr>
  </w:style>
  <w:style w:type="paragraph" w:styleId="ListParagraph">
    <w:name w:val="List Paragraph"/>
    <w:basedOn w:val="Normal"/>
    <w:uiPriority w:val="34"/>
    <w:qFormat/>
    <w:rsid w:val="006867E1"/>
    <w:pPr>
      <w:ind w:left="720"/>
      <w:contextualSpacing/>
    </w:pPr>
  </w:style>
  <w:style w:type="character" w:styleId="IntenseEmphasis">
    <w:name w:val="Intense Emphasis"/>
    <w:basedOn w:val="DefaultParagraphFont"/>
    <w:uiPriority w:val="21"/>
    <w:qFormat/>
    <w:rsid w:val="006867E1"/>
    <w:rPr>
      <w:i/>
      <w:iCs/>
      <w:color w:val="0F4761" w:themeColor="accent1" w:themeShade="BF"/>
    </w:rPr>
  </w:style>
  <w:style w:type="paragraph" w:styleId="IntenseQuote">
    <w:name w:val="Intense Quote"/>
    <w:basedOn w:val="Normal"/>
    <w:next w:val="Normal"/>
    <w:link w:val="IntenseQuoteChar"/>
    <w:uiPriority w:val="30"/>
    <w:qFormat/>
    <w:rsid w:val="00686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7E1"/>
    <w:rPr>
      <w:i/>
      <w:iCs/>
      <w:color w:val="0F4761" w:themeColor="accent1" w:themeShade="BF"/>
    </w:rPr>
  </w:style>
  <w:style w:type="character" w:styleId="IntenseReference">
    <w:name w:val="Intense Reference"/>
    <w:basedOn w:val="DefaultParagraphFont"/>
    <w:uiPriority w:val="32"/>
    <w:qFormat/>
    <w:rsid w:val="006867E1"/>
    <w:rPr>
      <w:b/>
      <w:bCs w:val="0"/>
      <w:smallCaps/>
      <w:color w:val="0F4761" w:themeColor="accent1" w:themeShade="BF"/>
      <w:spacing w:val="5"/>
    </w:rPr>
  </w:style>
  <w:style w:type="character" w:styleId="Hyperlink">
    <w:name w:val="Hyperlink"/>
    <w:basedOn w:val="DefaultParagraphFont"/>
    <w:uiPriority w:val="99"/>
    <w:unhideWhenUsed/>
    <w:rsid w:val="00A73B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bcdcf959-7ac7-4085-bb23-1660e544e3b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Tangarife Uribe, Valentina</dc:creator>
  <cp:keywords/>
  <dc:description/>
  <cp:lastModifiedBy>Tangarife Uribe, Valentina</cp:lastModifiedBy>
  <cp:revision>2</cp:revision>
  <dcterms:created xsi:type="dcterms:W3CDTF">2024-05-19T13:00:00Z</dcterms:created>
  <dcterms:modified xsi:type="dcterms:W3CDTF">2024-05-19T13:00:00Z</dcterms:modified>
</cp:coreProperties>
</file>