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Relat��rio T��cnico ��� ComandaF��cil</w:t>
      </w:r>
    </w:p>
    <w:p>
      <w:pPr>
        <w:pStyle w:val="Author"/>
      </w:pPr>
      <w:r>
        <w:t xml:space="preserve">Equipe ComandaF��cil</w:t>
      </w:r>
    </w:p>
    <w:bookmarkStart w:id="58" w:name="relatório-técnico--comandafácil"/>
    <w:p>
      <w:pPr>
        <w:pStyle w:val="Heading1"/>
      </w:pPr>
      <w:r>
        <w:t xml:space="preserve">Relatório Técnico — ComandaFácil</w:t>
      </w:r>
    </w:p>
    <w:bookmarkStart w:id="20" w:name="X6905c2c6474e2265b1a28820df43be846791ed9"/>
    <w:p>
      <w:pPr>
        <w:pStyle w:val="Heading2"/>
      </w:pPr>
      <w:r>
        <w:t xml:space="preserve">Sistema Multi-Tenant de Gestão de Restaurantes</w:t>
      </w:r>
    </w:p>
    <w:p>
      <w:r>
        <w:pict>
          <v:rect style="width:0;height:1.5pt" o:hralign="center" o:hrstd="t" o:hr="t"/>
        </w:pict>
      </w:r>
    </w:p>
    <w:bookmarkEnd w:id="20"/>
    <w:bookmarkStart w:id="28" w:name="Xc2970a1a23df3ef3b34d1da3795ce3cec2678cb"/>
    <w:p>
      <w:pPr>
        <w:pStyle w:val="Heading2"/>
      </w:pPr>
      <w:r>
        <w:t xml:space="preserve">1. Introdução</w:t>
      </w:r>
    </w:p>
    <w:bookmarkStart w:id="21" w:name="X73ecd2a72664e151c1d889a17737d742bf3d201"/>
    <w:p>
      <w:pPr>
        <w:pStyle w:val="Heading3"/>
      </w:pPr>
      <w:r>
        <w:t xml:space="preserve">1.1. Escopo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ComandaFácil</w:t>
      </w:r>
      <w:r>
        <w:t xml:space="preserve"> </w:t>
      </w:r>
      <w:r>
        <w:t xml:space="preserve">é um sistema de gestão para franquias de alimentação que oferece funcionalidades de:</w:t>
      </w:r>
    </w:p>
    <w:p>
      <w:pPr>
        <w:pStyle w:val="Compact"/>
        <w:numPr>
          <w:ilvl w:val="0"/>
          <w:numId w:val="1001"/>
        </w:numPr>
      </w:pPr>
      <w:r>
        <w:t xml:space="preserve">Gerenciamento de cardápios e listas de preços</w:t>
      </w:r>
    </w:p>
    <w:p>
      <w:pPr>
        <w:pStyle w:val="Compact"/>
        <w:numPr>
          <w:ilvl w:val="0"/>
          <w:numId w:val="1001"/>
        </w:numPr>
      </w:pPr>
      <w:r>
        <w:t xml:space="preserve">Abertura e fechamento de comandas (pedidos) com suporte a balcão, mesa e delivery</w:t>
      </w:r>
    </w:p>
    <w:p>
      <w:pPr>
        <w:pStyle w:val="Compact"/>
        <w:numPr>
          <w:ilvl w:val="0"/>
          <w:numId w:val="1001"/>
        </w:numPr>
      </w:pPr>
      <w:r>
        <w:t xml:space="preserve">Sistema de Display de Cozinha (KDS) com atualizações em tempo real via WebSocket</w:t>
      </w:r>
    </w:p>
    <w:p>
      <w:pPr>
        <w:pStyle w:val="Compact"/>
        <w:numPr>
          <w:ilvl w:val="0"/>
          <w:numId w:val="1001"/>
        </w:numPr>
      </w:pPr>
      <w:r>
        <w:t xml:space="preserve">Processamento de pagamentos (dinheiro, cartão, PIX) com integração Stripe</w:t>
      </w:r>
    </w:p>
    <w:p>
      <w:pPr>
        <w:pStyle w:val="Compact"/>
        <w:numPr>
          <w:ilvl w:val="0"/>
          <w:numId w:val="1001"/>
        </w:numPr>
      </w:pPr>
      <w:r>
        <w:t xml:space="preserve">Controle de estoque com movimentação e alertas de nível mínimo</w:t>
      </w:r>
    </w:p>
    <w:p>
      <w:pPr>
        <w:pStyle w:val="Compact"/>
        <w:numPr>
          <w:ilvl w:val="0"/>
          <w:numId w:val="1001"/>
        </w:numPr>
      </w:pPr>
      <w:r>
        <w:t xml:space="preserve">Painéis analíticos com agregações em tempo real</w:t>
      </w:r>
    </w:p>
    <w:p>
      <w:pPr>
        <w:pStyle w:val="Compact"/>
        <w:numPr>
          <w:ilvl w:val="0"/>
          <w:numId w:val="1001"/>
        </w:numPr>
      </w:pPr>
      <w:r>
        <w:t xml:space="preserve">Autenticação e autorização baseada em papéis (gerente, garçom, cozinha, caixa)</w:t>
      </w:r>
    </w:p>
    <w:bookmarkEnd w:id="21"/>
    <w:bookmarkStart w:id="22" w:name="X04f415251f5b778ec79db2531a698e6d7ea3b5d"/>
    <w:p>
      <w:pPr>
        <w:pStyle w:val="Heading3"/>
      </w:pPr>
      <w:r>
        <w:t xml:space="preserve">1.2. Stack Tecnológica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Backend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≥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≥ 0.115.0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(escrita)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≥ 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PostgreSQL</w:t>
            </w:r>
          </w:p>
        </w:tc>
        <w:tc>
          <w:tcPr/>
          <w:p>
            <w:pPr>
              <w:pStyle w:val="Compact"/>
            </w:pPr>
            <w:r>
              <w:t xml:space="preserve">asyncpg</w:t>
            </w:r>
          </w:p>
        </w:tc>
        <w:tc>
          <w:tcPr/>
          <w:p>
            <w:pPr>
              <w:pStyle w:val="Compact"/>
            </w:pPr>
            <w:r>
              <w:t xml:space="preserve">≥ 0.29.0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</w:t>
            </w:r>
          </w:p>
        </w:tc>
        <w:tc>
          <w:tcPr/>
          <w:p>
            <w:pPr>
              <w:pStyle w:val="Compact"/>
            </w:pPr>
            <w:r>
              <w:t xml:space="preserve">Alembic</w:t>
            </w:r>
          </w:p>
        </w:tc>
        <w:tc>
          <w:tcPr/>
          <w:p>
            <w:pPr>
              <w:pStyle w:val="Compact"/>
            </w:pPr>
            <w:r>
              <w:t xml:space="preserve">≥ 1.13.0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MongoDB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≥ 3.5.0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≥ 19.0.0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Frontend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≥ 8.0.0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 6.0.0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Escrita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Leitura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≥ 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≥ 1.47.0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Mutantes</w:t>
            </w:r>
          </w:p>
        </w:tc>
        <w:tc>
          <w:tcPr/>
          <w:p>
            <w:pPr>
              <w:pStyle w:val="Compact"/>
            </w:pPr>
            <w:r>
              <w:t xml:space="preserve">Mutmut + Stryker</w:t>
            </w:r>
          </w:p>
        </w:tc>
        <w:tc>
          <w:tcPr/>
          <w:p>
            <w:pPr>
              <w:pStyle w:val="Compact"/>
            </w:pPr>
            <w:r>
              <w:t xml:space="preserve">≥ 3.1.0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 Backend</w:t>
            </w:r>
          </w:p>
        </w:tc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≥ 0.9.0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</w:t>
            </w:r>
          </w:p>
        </w:tc>
        <w:tc>
          <w:tcPr/>
          <w:p>
            <w:pPr>
              <w:pStyle w:val="Compact"/>
            </w:pPr>
            <w:r>
              <w:t xml:space="preserve">Pyright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 Frontend</w:t>
            </w:r>
          </w:p>
        </w:tc>
        <w:tc>
          <w:tcPr/>
          <w:p>
            <w:pPr>
              <w:pStyle w:val="Compact"/>
            </w:pPr>
            <w:r>
              <w:t xml:space="preserve">Biome</w:t>
            </w:r>
          </w:p>
        </w:tc>
        <w:tc>
          <w:tcPr/>
          <w:p>
            <w:pPr>
              <w:pStyle w:val="Compact"/>
            </w:pPr>
            <w:r>
              <w:t xml:space="preserve">≥ 2.4.0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Contêineres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</w:tbl>
    <w:bookmarkEnd w:id="22"/>
    <w:bookmarkStart w:id="26" w:name="X811d3b819babebf8d6ef7cbaa818d97b96df81b"/>
    <w:p>
      <w:pPr>
        <w:pStyle w:val="Heading3"/>
      </w:pPr>
      <w:r>
        <w:t xml:space="preserve">1.3. Arquitetura Geral</w:t>
      </w:r>
    </w:p>
    <w:p>
      <w:pPr>
        <w:pStyle w:val="FirstParagraph"/>
      </w:pPr>
      <w:r>
        <w:t xml:space="preserve">O sistema segue</w:t>
      </w:r>
      <w:r>
        <w:t xml:space="preserve"> </w:t>
      </w:r>
      <w:r>
        <w:rPr>
          <w:b/>
          <w:bCs/>
        </w:rPr>
        <w:t xml:space="preserve">Domain-Driven Design (DDD)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CQRS</w:t>
      </w:r>
      <w:r>
        <w:t xml:space="preserve"> </w:t>
      </w:r>
      <w:r>
        <w:t xml:space="preserve">(Command Query Responsibility Segregation) utilizando dois bancos de dados:</w:t>
      </w:r>
    </w:p>
    <w:p>
      <w:pPr>
        <w:pStyle w:val="BodyText"/>
      </w:pPr>
      <w:r>
        <w:drawing>
          <wp:inline>
            <wp:extent cx="5334000" cy="2979964"/>
            <wp:effectExtent b="0" l="0" r="0" t="0"/>
            <wp:docPr descr="Diagrama 1" title="" id="24" name="Picture"/>
            <a:graphic>
              <a:graphicData uri="http://schemas.openxmlformats.org/drawingml/2006/picture">
                <pic:pic>
                  <pic:nvPicPr>
                    <pic:cNvPr descr="diagramas/diagrama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d254e27a89c21abae6e27544dc7746d4716ab1e"/>
    <w:p>
      <w:pPr>
        <w:pStyle w:val="Heading3"/>
      </w:pPr>
      <w:r>
        <w:t xml:space="preserve">1.4. Multi-Tenant</w:t>
      </w:r>
    </w:p>
    <w:p>
      <w:pPr>
        <w:pStyle w:val="FirstParagraph"/>
      </w:pPr>
      <w:r>
        <w:t xml:space="preserve">O isolamento entre franquias é feito via header HTTP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</w:t>
      </w:r>
      <w:r>
        <w:t xml:space="preserve"> </w:t>
      </w:r>
      <w:r>
        <w:t xml:space="preserve">extrai o header e injeta em</w:t>
      </w:r>
      <w:r>
        <w:t xml:space="preserve"> </w:t>
      </w:r>
      <w:r>
        <w:rPr>
          <w:rStyle w:val="VerbatimChar"/>
        </w:rPr>
        <w:t xml:space="preserve">ContextVar[str]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CurrentTenantId</w:t>
      </w:r>
      <w:r>
        <w:t xml:space="preserve"> </w:t>
      </w:r>
      <w:r>
        <w:t xml:space="preserve">depende da ContextVar (tipo</w:t>
      </w:r>
      <w:r>
        <w:t xml:space="preserve"> </w:t>
      </w:r>
      <w:r>
        <w:rPr>
          <w:rStyle w:val="VerbatimChar"/>
        </w:rPr>
        <w:t xml:space="preserve">str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Domínio</w:t>
      </w:r>
      <w:r>
        <w:t xml:space="preserve">: toda entidade carrega</w:t>
      </w:r>
      <w:r>
        <w:t xml:space="preserve"> </w:t>
      </w:r>
      <w:r>
        <w:rPr>
          <w:rStyle w:val="VerbatimChar"/>
        </w:rPr>
        <w:t xml:space="preserve">tenant_id: Final[str]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Repositórios</w:t>
      </w:r>
      <w:r>
        <w:t xml:space="preserve">: todas as queries filtram por</w:t>
      </w:r>
      <w:r>
        <w:t xml:space="preserve"> </w:t>
      </w:r>
      <w:r>
        <w:rPr>
          <w:rStyle w:val="VerbatimChar"/>
        </w:rPr>
        <w:t xml:space="preserve">tenant_id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</w:t>
      </w:r>
      <w:r>
        <w:t xml:space="preserve">: arquivos separados por tenant em</w:t>
      </w:r>
      <w:r>
        <w:t xml:space="preserve"> </w:t>
      </w:r>
      <w:r>
        <w:rPr>
          <w:rStyle w:val="VerbatimChar"/>
        </w:rPr>
        <w:t xml:space="preserve">logs/franquias/{tenant_id}/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e221f2e98cebe8a9cffe534423d9bd0601e269"/>
    <w:p>
      <w:pPr>
        <w:pStyle w:val="Heading2"/>
      </w:pPr>
      <w:r>
        <w:t xml:space="preserve">2. Estrutura do Projeto</w:t>
      </w:r>
    </w:p>
    <w:p>
      <w:pPr>
        <w:pStyle w:val="SourceCode"/>
      </w:pPr>
      <w:r>
        <w:rPr>
          <w:rStyle w:val="VerbatimChar"/>
        </w:rPr>
        <w:t xml:space="preserve">ComandaFacil/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auth/           # Autenticação e Autorização</w:t>
      </w:r>
      <w:r>
        <w:br/>
      </w:r>
      <w:r>
        <w:rPr>
          <w:rStyle w:val="VerbatimChar"/>
        </w:rPr>
        <w:t xml:space="preserve">│   │   ├── menu/           # Cardápios e Listas de Preço</w:t>
      </w:r>
      <w:r>
        <w:br/>
      </w:r>
      <w:r>
        <w:rPr>
          <w:rStyle w:val="VerbatimChar"/>
        </w:rPr>
        <w:t xml:space="preserve">│   │   ├── order/          # Comandas (Aggregate Root central)</w:t>
      </w:r>
      <w:r>
        <w:br/>
      </w:r>
      <w:r>
        <w:rPr>
          <w:rStyle w:val="VerbatimChar"/>
        </w:rPr>
        <w:t xml:space="preserve">│   │   ├── kitchen/        # Cozinha (KDS, WebSocket)</w:t>
      </w:r>
      <w:r>
        <w:br/>
      </w:r>
      <w:r>
        <w:rPr>
          <w:rStyle w:val="VerbatimChar"/>
        </w:rPr>
        <w:t xml:space="preserve">│   │   ├── payment/        # Pagamentos (Stripe + Dinheiro)</w:t>
      </w:r>
      <w:r>
        <w:br/>
      </w:r>
      <w:r>
        <w:rPr>
          <w:rStyle w:val="VerbatimChar"/>
        </w:rPr>
        <w:t xml:space="preserve">│   │   ├── stock/          # Estoque e Movimentações</w:t>
      </w:r>
      <w:r>
        <w:br/>
      </w:r>
      <w:r>
        <w:rPr>
          <w:rStyle w:val="VerbatimChar"/>
        </w:rPr>
        <w:t xml:space="preserve">│   │   ├── analytics/      # BI e Agregações MongoDB</w:t>
      </w:r>
      <w:r>
        <w:br/>
      </w:r>
      <w:r>
        <w:rPr>
          <w:rStyle w:val="VerbatimChar"/>
        </w:rPr>
        <w:t xml:space="preserve">│   │   ├── shared/         # Core compartilhado (Money, Base ORM, etc.)</w:t>
      </w:r>
      <w:r>
        <w:br/>
      </w:r>
      <w:r>
        <w:rPr>
          <w:rStyle w:val="VerbatimChar"/>
        </w:rPr>
        <w:t xml:space="preserve">│   │   ├── dependencies.py # Injeção de Dependência FastAPI</w:t>
      </w:r>
      <w:r>
        <w:br/>
      </w:r>
      <w:r>
        <w:rPr>
          <w:rStyle w:val="VerbatimChar"/>
        </w:rPr>
        <w:t xml:space="preserve">│   │   ├── main.py         # Setup do FastAPI (middleware, routers)</w:t>
      </w:r>
      <w:r>
        <w:br/>
      </w:r>
      <w:r>
        <w:rPr>
          <w:rStyle w:val="VerbatimChar"/>
        </w:rPr>
        <w:t xml:space="preserve">│   │   └── settings.py     # Configurações (pydantic-settings)</w:t>
      </w:r>
      <w:r>
        <w:br/>
      </w:r>
      <w:r>
        <w:rPr>
          <w:rStyle w:val="VerbatimChar"/>
        </w:rPr>
        <w:t xml:space="preserve">│   ├── alembic/            # Migrações PostgreSQL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│   ├── unit/           # Testes unitários síncronos</w:t>
      </w:r>
      <w:r>
        <w:br/>
      </w:r>
      <w:r>
        <w:rPr>
          <w:rStyle w:val="VerbatimChar"/>
        </w:rPr>
        <w:t xml:space="preserve">│   │   └── integration/    # Testes de integração (SQLite/Mongo Mock)</w:t>
      </w:r>
      <w:r>
        <w:br/>
      </w:r>
      <w:r>
        <w:rPr>
          <w:rStyle w:val="VerbatimChar"/>
        </w:rPr>
        <w:t xml:space="preserve">│   ├── pyproject.toml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shared/         # lib, hooks, componentes, tipos</w:t>
      </w:r>
      <w:r>
        <w:br/>
      </w:r>
      <w:r>
        <w:rPr>
          <w:rStyle w:val="VerbatimChar"/>
        </w:rPr>
        <w:t xml:space="preserve">│   │   └── features/       # auth, menu, order, kitchen, stock, analytics</w:t>
      </w:r>
      <w:r>
        <w:br/>
      </w:r>
      <w:r>
        <w:rPr>
          <w:rStyle w:val="VerbatimChar"/>
        </w:rPr>
        <w:t xml:space="preserve">│   ├── tests/              # e2e, property, unit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├── docker-compose.yml      # PostgreSQL + MongoDB</w:t>
      </w:r>
      <w:r>
        <w:br/>
      </w:r>
      <w:r>
        <w:rPr>
          <w:rStyle w:val="VerbatimChar"/>
        </w:rPr>
        <w:t xml:space="preserve">├── Makefile                # Comandos de desenvolvimento</w:t>
      </w:r>
      <w:r>
        <w:br/>
      </w:r>
      <w:r>
        <w:rPr>
          <w:rStyle w:val="VerbatimChar"/>
        </w:rPr>
        <w:t xml:space="preserve">└── AGENTS.md               # Guia do agente AI</w:t>
      </w:r>
    </w:p>
    <w:p>
      <w:pPr>
        <w:pStyle w:val="FirstParagraph"/>
      </w:pPr>
      <w:r>
        <w:t xml:space="preserve">Cada contexto segue a estrutura DDD:</w:t>
      </w:r>
    </w:p>
    <w:p>
      <w:pPr>
        <w:pStyle w:val="SourceCode"/>
      </w:pPr>
      <w:r>
        <w:rPr>
          <w:rStyle w:val="VerbatimChar"/>
        </w:rPr>
        <w:t xml:space="preserve">app/{contexto}/</w:t>
      </w:r>
      <w:r>
        <w:br/>
      </w:r>
      <w:r>
        <w:rPr>
          <w:rStyle w:val="VerbatimChar"/>
        </w:rPr>
        <w:t xml:space="preserve">├── domain/          # Lógica pura (sem I/O, sem imports externos)</w:t>
      </w:r>
      <w:r>
        <w:br/>
      </w:r>
      <w:r>
        <w:rPr>
          <w:rStyle w:val="VerbatimChar"/>
        </w:rPr>
        <w:t xml:space="preserve">│   ├── entidade.py         # Aggregate Root + Entidades</w:t>
      </w:r>
      <w:r>
        <w:br/>
      </w:r>
      <w:r>
        <w:rPr>
          <w:rStyle w:val="VerbatimChar"/>
        </w:rPr>
        <w:t xml:space="preserve">│   ├── value_object.py     # Objetos de Valor (frozen dataclass)</w:t>
      </w:r>
      <w:r>
        <w:br/>
      </w:r>
      <w:r>
        <w:rPr>
          <w:rStyle w:val="VerbatimChar"/>
        </w:rPr>
        <w:t xml:space="preserve">│   ├── repository.py       # Interface do Repositório (ABC ou Protocol)</w:t>
      </w:r>
      <w:r>
        <w:br/>
      </w:r>
      <w:r>
        <w:rPr>
          <w:rStyle w:val="VerbatimChar"/>
        </w:rPr>
        <w:t xml:space="preserve">│   ├── enums.py            # Enumeradores</w:t>
      </w:r>
      <w:r>
        <w:br/>
      </w:r>
      <w:r>
        <w:rPr>
          <w:rStyle w:val="VerbatimChar"/>
        </w:rPr>
        <w:t xml:space="preserve">│   └── states.py           # Padrão State (máquina de estados)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│   ├── commands.py         # Comandos + Handlers (escrita)</w:t>
      </w:r>
      <w:r>
        <w:br/>
      </w:r>
      <w:r>
        <w:rPr>
          <w:rStyle w:val="VerbatimChar"/>
        </w:rPr>
        <w:t xml:space="preserve">│   └── queries.py          # Queries + Handlers (leitura)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orm_models.py       # Modelos SQLAlchemy</w:t>
      </w:r>
      <w:r>
        <w:br/>
      </w:r>
      <w:r>
        <w:rPr>
          <w:rStyle w:val="VerbatimChar"/>
        </w:rPr>
        <w:t xml:space="preserve">│   ├── repositories.py     # Implementação dos Repositórios</w:t>
      </w:r>
      <w:r>
        <w:br/>
      </w:r>
      <w:r>
        <w:rPr>
          <w:rStyle w:val="VerbatimChar"/>
        </w:rPr>
        <w:t xml:space="preserve">│   └── mongo_sync.py       # Sincronização MongoDB (se aplicável)</w:t>
      </w:r>
      <w:r>
        <w:br/>
      </w:r>
      <w:r>
        <w:rPr>
          <w:rStyle w:val="VerbatimChar"/>
        </w:rPr>
        <w:t xml:space="preserve">└── api/</w:t>
      </w:r>
      <w:r>
        <w:br/>
      </w:r>
      <w:r>
        <w:rPr>
          <w:rStyle w:val="VerbatimChar"/>
        </w:rPr>
        <w:t xml:space="preserve">    └── routes.py           # Endpoints FastAPI (delegam para application)</w:t>
      </w:r>
    </w:p>
    <w:p>
      <w:r>
        <w:pict>
          <v:rect style="width:0;height:1.5pt" o:hralign="center" o:hrstd="t" o:hr="t"/>
        </w:pict>
      </w:r>
    </w:p>
    <w:bookmarkEnd w:id="29"/>
    <w:bookmarkStart w:id="42" w:name="X62d3d971f3a197c597d7702e0c137e33961ed47"/>
    <w:p>
      <w:pPr>
        <w:pStyle w:val="Heading2"/>
      </w:pPr>
      <w:r>
        <w:t xml:space="preserve">3. Diagramas C4</w:t>
      </w:r>
    </w:p>
    <w:bookmarkStart w:id="33" w:name="Xc429a8e823ef03235ef9fbc475d62bd5e11dd5f"/>
    <w:p>
      <w:pPr>
        <w:pStyle w:val="Heading3"/>
      </w:pPr>
      <w:r>
        <w:t xml:space="preserve">4.1. Diagrama de Contexto (Nível 1)</w:t>
      </w:r>
    </w:p>
    <w:p>
      <w:pPr>
        <w:pStyle w:val="FirstParagraph"/>
      </w:pPr>
      <w:r>
        <w:drawing>
          <wp:inline>
            <wp:extent cx="5334000" cy="3973285"/>
            <wp:effectExtent b="0" l="0" r="0" t="0"/>
            <wp:docPr descr="Diagrama 2" title="" id="31" name="Picture"/>
            <a:graphic>
              <a:graphicData uri="http://schemas.openxmlformats.org/drawingml/2006/picture">
                <pic:pic>
                  <pic:nvPicPr>
                    <pic:cNvPr descr="diagramas/diagrama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3584db0042bc2886e54cf1fd9608c481f94d840"/>
    <w:p>
      <w:pPr>
        <w:pStyle w:val="Heading3"/>
      </w:pPr>
      <w:r>
        <w:t xml:space="preserve">4.2. Diagrama de Container (Nível 2)</w:t>
      </w:r>
    </w:p>
    <w:p>
      <w:pPr>
        <w:pStyle w:val="FirstParagraph"/>
      </w:pPr>
      <w:r>
        <w:drawing>
          <wp:inline>
            <wp:extent cx="5334000" cy="3286125"/>
            <wp:effectExtent b="0" l="0" r="0" t="0"/>
            <wp:docPr descr="Diagrama 3" title="" id="35" name="Picture"/>
            <a:graphic>
              <a:graphicData uri="http://schemas.openxmlformats.org/drawingml/2006/picture">
                <pic:pic>
                  <pic:nvPicPr>
                    <pic:cNvPr descr="diagramas/diagrama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Xb69d4894083f000e327bc51756925eecbabdb98"/>
    <w:p>
      <w:pPr>
        <w:pStyle w:val="Heading3"/>
      </w:pPr>
      <w:r>
        <w:t xml:space="preserve">4.3. Diagrama de Componente (Nível 3) — Order Context</w:t>
      </w:r>
    </w:p>
    <w:p>
      <w:pPr>
        <w:pStyle w:val="FirstParagraph"/>
      </w:pPr>
      <w:r>
        <w:drawing>
          <wp:inline>
            <wp:extent cx="5334000" cy="8014607"/>
            <wp:effectExtent b="0" l="0" r="0" t="0"/>
            <wp:docPr descr="Diagrama 4" title="" id="39" name="Picture"/>
            <a:graphic>
              <a:graphicData uri="http://schemas.openxmlformats.org/drawingml/2006/picture">
                <pic:pic>
                  <pic:nvPicPr>
                    <pic:cNvPr descr="diagramas/diagrama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14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a138963b288d9d540d5cba8e13688480d5667e9"/>
    <w:p>
      <w:pPr>
        <w:pStyle w:val="Heading2"/>
      </w:pPr>
      <w:r>
        <w:t xml:space="preserve">4. Fluxos de Dados Principais</w:t>
      </w:r>
    </w:p>
    <w:bookmarkStart w:id="46" w:name="X72b59f1b6ba4e741df0da97bd19c29f266cff55"/>
    <w:p>
      <w:pPr>
        <w:pStyle w:val="Heading3"/>
      </w:pPr>
      <w:r>
        <w:t xml:space="preserve">5.1. Fluxo de Criação de Comanda com Item</w:t>
      </w:r>
    </w:p>
    <w:p>
      <w:pPr>
        <w:pStyle w:val="FirstParagraph"/>
      </w:pPr>
      <w:r>
        <w:drawing>
          <wp:inline>
            <wp:extent cx="5334000" cy="4871357"/>
            <wp:effectExtent b="0" l="0" r="0" t="0"/>
            <wp:docPr descr="Diagrama 5" title="" id="44" name="Picture"/>
            <a:graphic>
              <a:graphicData uri="http://schemas.openxmlformats.org/drawingml/2006/picture">
                <pic:pic>
                  <pic:nvPicPr>
                    <pic:cNvPr descr="diagramas/diagrama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Xae8d9748337acd75ea115f5d9d2dd25645491f0"/>
    <w:p>
      <w:pPr>
        <w:pStyle w:val="Heading3"/>
      </w:pPr>
      <w:r>
        <w:t xml:space="preserve">5.2. Fluxo de Fechamento de Comanda</w:t>
      </w:r>
    </w:p>
    <w:p>
      <w:pPr>
        <w:pStyle w:val="FirstParagraph"/>
      </w:pPr>
      <w:r>
        <w:drawing>
          <wp:inline>
            <wp:extent cx="5334000" cy="7470321"/>
            <wp:effectExtent b="0" l="0" r="0" t="0"/>
            <wp:docPr descr="Diagrama 6" title="" id="48" name="Picture"/>
            <a:graphic>
              <a:graphicData uri="http://schemas.openxmlformats.org/drawingml/2006/picture">
                <pic:pic>
                  <pic:nvPicPr>
                    <pic:cNvPr descr="diagramas/diagrama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0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a30d7228323866e6d2be6df4cdf9723932332ca"/>
    <w:p>
      <w:pPr>
        <w:pStyle w:val="Heading2"/>
      </w:pPr>
      <w:r>
        <w:t xml:space="preserve">5. Cronograma (02/jun → 12/jun)</w:t>
      </w:r>
    </w:p>
    <w:bookmarkStart w:id="52" w:name="fase-1-fundação-02jun--03jun"/>
    <w:p>
      <w:pPr>
        <w:pStyle w:val="Heading3"/>
      </w:pPr>
      <w:r>
        <w:t xml:space="preserve">Fase 1: Fundação (02/jun — 03/jun)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02/jun</w:t>
            </w:r>
          </w:p>
        </w:tc>
        <w:tc>
          <w:tcPr/>
          <w:p>
            <w:pPr>
              <w:pStyle w:val="Compact"/>
            </w:pPr>
            <w:r>
              <w:t xml:space="preserve">Setup do monorepo (backend + frontend + Docker + Docker Compose)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02/jun</w:t>
            </w:r>
          </w:p>
        </w:tc>
        <w:tc>
          <w:tcPr/>
          <w:p>
            <w:pPr>
              <w:pStyle w:val="Compact"/>
            </w:pPr>
            <w:r>
              <w:t xml:space="preserve">Setup FastAPI + SQLAlchemy + Alembic + Motor + shared kernel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02/jun</w:t>
            </w:r>
          </w:p>
        </w:tc>
        <w:tc>
          <w:tcPr/>
          <w:p>
            <w:pPr>
              <w:pStyle w:val="Compact"/>
            </w:pPr>
            <w:r>
              <w:t xml:space="preserve">Setup frontend (React + Vite + TS + Tailwind + TanStack Query)</w:t>
            </w:r>
          </w:p>
        </w:tc>
        <w:tc>
          <w:tcPr/>
          <w:p>
            <w:pPr>
              <w:pStyle w:val="Compact"/>
            </w:pPr>
            <w:r>
              <w:t xml:space="preserve">Luiz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03/jun</w:t>
            </w:r>
          </w:p>
        </w:tc>
        <w:tc>
          <w:tcPr/>
          <w:p>
            <w:pPr>
              <w:pStyle w:val="Compact"/>
            </w:pPr>
            <w:r>
              <w:t xml:space="preserve">Setup CI/CD (GitHub Actions, pre-commit, lint, typecheck)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03/jun</w:t>
            </w:r>
          </w:p>
        </w:tc>
        <w:tc>
          <w:tcPr/>
          <w:p>
            <w:pPr>
              <w:pStyle w:val="Compact"/>
            </w:pPr>
            <w:r>
              <w:t xml:space="preserve">Configuração de testes (Pytest, Vitest, Playwright, Mutmut, Stryker)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03/jun</w:t>
            </w:r>
          </w:p>
        </w:tc>
        <w:tc>
          <w:tcPr/>
          <w:p>
            <w:pPr>
              <w:pStyle w:val="Compact"/>
            </w:pPr>
            <w:r>
              <w:t xml:space="preserve">ADRs + documentação inicial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</w:tbl>
    <w:bookmarkEnd w:id="52"/>
    <w:bookmarkStart w:id="53" w:name="fase-2-contextos-core-04jun--07jun"/>
    <w:p>
      <w:pPr>
        <w:pStyle w:val="Heading3"/>
      </w:pPr>
      <w:r>
        <w:t xml:space="preserve">Fase 2: Contextos Core (04/jun — 07/jun)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04/jun</w:t>
            </w:r>
          </w:p>
        </w:tc>
        <w:tc>
          <w:tcPr/>
          <w:p>
            <w:pPr>
              <w:pStyle w:val="Compact"/>
            </w:pPr>
            <w:r>
              <w:t xml:space="preserve">Contexto Auth: domínio + ORM + repositórios + commands + rotas + testes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05/jun</w:t>
            </w:r>
          </w:p>
        </w:tc>
        <w:tc>
          <w:tcPr/>
          <w:p>
            <w:pPr>
              <w:pStyle w:val="Compact"/>
            </w:pPr>
            <w:r>
              <w:t xml:space="preserve">Contexto Menu: domínio + ORM + repositórios + commands + rotas + MongoDB sync</w:t>
            </w:r>
          </w:p>
        </w:tc>
        <w:tc>
          <w:tcPr/>
          <w:p>
            <w:pPr>
              <w:pStyle w:val="Compact"/>
            </w:pPr>
            <w:r>
              <w:t xml:space="preserve">Luiz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05/jun-06/jun</w:t>
            </w:r>
          </w:p>
        </w:tc>
        <w:tc>
          <w:tcPr/>
          <w:p>
            <w:pPr>
              <w:pStyle w:val="Compact"/>
            </w:pPr>
            <w:r>
              <w:t xml:space="preserve">Contexto Order: domínio (OrderForm, States, Fulfillment, Delivery) + ORM + repositórios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06/jun</w:t>
            </w:r>
          </w:p>
        </w:tc>
        <w:tc>
          <w:tcPr/>
          <w:p>
            <w:pPr>
              <w:pStyle w:val="Compact"/>
            </w:pPr>
            <w:r>
              <w:t xml:space="preserve">Contexto Order: commands + queries + handlers + rotas REST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07/jun</w:t>
            </w:r>
          </w:p>
        </w:tc>
        <w:tc>
          <w:tcPr/>
          <w:p>
            <w:pPr>
              <w:pStyle w:val="Compact"/>
            </w:pPr>
            <w:r>
              <w:t xml:space="preserve">Contexto Kitchen: domínio + WebSocket Manager + rotas HTTP/WS + testes</w:t>
            </w:r>
          </w:p>
        </w:tc>
        <w:tc>
          <w:tcPr/>
          <w:p>
            <w:pPr>
              <w:pStyle w:val="Compact"/>
            </w:pPr>
            <w:r>
              <w:t xml:space="preserve">Luiz</w:t>
            </w:r>
          </w:p>
        </w:tc>
      </w:tr>
    </w:tbl>
    <w:bookmarkEnd w:id="53"/>
    <w:bookmarkStart w:id="54" w:name="fase-3-contextos-de-suporte-07jun--09jun"/>
    <w:p>
      <w:pPr>
        <w:pStyle w:val="Heading3"/>
      </w:pPr>
      <w:r>
        <w:t xml:space="preserve">Fase 3: Contextos de Suporte (07/jun — 09/jun)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07/jun-08/jun</w:t>
            </w:r>
          </w:p>
        </w:tc>
        <w:tc>
          <w:tcPr/>
          <w:p>
            <w:pPr>
              <w:pStyle w:val="Compact"/>
            </w:pPr>
            <w:r>
              <w:t xml:space="preserve">Contexto Payment: domínio + StripeGateway + rotas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08/jun</w:t>
            </w:r>
          </w:p>
        </w:tc>
        <w:tc>
          <w:tcPr/>
          <w:p>
            <w:pPr>
              <w:pStyle w:val="Compact"/>
            </w:pPr>
            <w:r>
              <w:t xml:space="preserve">Contexto Stock: domínio + ORM + repositórios + commands + rotas</w:t>
            </w:r>
          </w:p>
        </w:tc>
        <w:tc>
          <w:tcPr/>
          <w:p>
            <w:pPr>
              <w:pStyle w:val="Compact"/>
            </w:pPr>
            <w:r>
              <w:t xml:space="preserve">Luiz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08/jun-09/jun</w:t>
            </w:r>
          </w:p>
        </w:tc>
        <w:tc>
          <w:tcPr/>
          <w:p>
            <w:pPr>
              <w:pStyle w:val="Compact"/>
            </w:pPr>
            <w:r>
              <w:t xml:space="preserve">Contexto Analytics: value objects + aggregation pipelines + queries + rotas</w:t>
            </w:r>
          </w:p>
        </w:tc>
        <w:tc>
          <w:tcPr/>
          <w:p>
            <w:pPr>
              <w:pStyle w:val="Compact"/>
            </w:pPr>
            <w:r>
              <w:t xml:space="preserve">Kelry</w:t>
            </w:r>
          </w:p>
        </w:tc>
      </w:tr>
    </w:tbl>
    <w:bookmarkEnd w:id="54"/>
    <w:bookmarkStart w:id="55" w:name="X38886656db3bfe5b8afe167c422dcfc5c505158"/>
    <w:p>
      <w:pPr>
        <w:pStyle w:val="Heading3"/>
      </w:pPr>
      <w:r>
        <w:t xml:space="preserve">Fase 4: Integração e Isolamento (09/jun — 11/jun)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09/jun</w:t>
            </w:r>
          </w:p>
        </w:tc>
        <w:tc>
          <w:tcPr/>
          <w:p>
            <w:pPr>
              <w:pStyle w:val="Compact"/>
            </w:pPr>
            <w:r>
              <w:t xml:space="preserve">Integração Order → Kitchen (background task) + MongoDB sync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10/jun</w:t>
            </w:r>
          </w:p>
        </w:tc>
        <w:tc>
          <w:tcPr/>
          <w:p>
            <w:pPr>
              <w:pStyle w:val="Compact"/>
            </w:pPr>
            <w:r>
              <w:t xml:space="preserve">Multi-tenant isolation (tenant_id em todas entidades/queries — Order, Kitchen, Menu)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10/jun</w:t>
            </w:r>
          </w:p>
        </w:tc>
        <w:tc>
          <w:tcPr/>
          <w:p>
            <w:pPr>
              <w:pStyle w:val="Compact"/>
            </w:pPr>
            <w:r>
              <w:t xml:space="preserve">Testes de integração Stock + Analytics (testcontainers)</w:t>
            </w:r>
          </w:p>
        </w:tc>
        <w:tc>
          <w:tcPr/>
          <w:p>
            <w:pPr>
              <w:pStyle w:val="Compact"/>
            </w:pPr>
            <w:r>
              <w:t xml:space="preserve">Luiz, Kelry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11/jun</w:t>
            </w:r>
          </w:p>
        </w:tc>
        <w:tc>
          <w:tcPr/>
          <w:p>
            <w:pPr>
              <w:pStyle w:val="Compact"/>
            </w:pPr>
            <w:r>
              <w:t xml:space="preserve">Testes de mutação (3223 mutantes, cobertura 7 contextos)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</w:tbl>
    <w:bookmarkEnd w:id="55"/>
    <w:bookmarkStart w:id="56" w:name="X072a8126832a63b8c73b6505e20b273d28b6136"/>
    <w:p>
      <w:pPr>
        <w:pStyle w:val="Heading3"/>
      </w:pPr>
      <w:r>
        <w:t xml:space="preserve">Fase 5: Analytics e Finalização (11/jun — 12/jun)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Membros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11/jun</w:t>
            </w:r>
          </w:p>
        </w:tc>
        <w:tc>
          <w:tcPr/>
          <w:p>
            <w:pPr>
              <w:pStyle w:val="Compact"/>
            </w:pPr>
            <w:r>
              <w:t xml:space="preserve">Wire analytics collections: orders_read, stock_read, kitchen_read</w:t>
            </w:r>
          </w:p>
        </w:tc>
        <w:tc>
          <w:tcPr/>
          <w:p>
            <w:pPr>
              <w:pStyle w:val="Compact"/>
            </w:pPr>
            <w:r>
              <w:t xml:space="preserve">Alerrandro, Luiz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11/jun</w:t>
            </w:r>
          </w:p>
        </w:tc>
        <w:tc>
          <w:tcPr/>
          <w:p>
            <w:pPr>
              <w:pStyle w:val="Compact"/>
            </w:pPr>
            <w:r>
              <w:t xml:space="preserve">Payment queries layer (GetPaymentByOrderHandler)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11/jun-12/jun</w:t>
            </w:r>
          </w:p>
        </w:tc>
        <w:tc>
          <w:tcPr/>
          <w:p>
            <w:pPr>
              <w:pStyle w:val="Compact"/>
            </w:pPr>
            <w:r>
              <w:t xml:space="preserve">Dashboards analíticos (frontend)</w:t>
            </w:r>
          </w:p>
        </w:tc>
        <w:tc>
          <w:tcPr/>
          <w:p>
            <w:pPr>
              <w:pStyle w:val="Compact"/>
            </w:pPr>
            <w:r>
              <w:t xml:space="preserve">Kelry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12/jun</w:t>
            </w:r>
          </w:p>
        </w:tc>
        <w:tc>
          <w:tcPr/>
          <w:p>
            <w:pPr>
              <w:pStyle w:val="Compact"/>
            </w:pPr>
            <w:r>
              <w:t xml:space="preserve">Testes E2E (Playwright) + Testes de propriedade (Hypothesis + fast-check)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12/jun</w:t>
            </w:r>
          </w:p>
        </w:tc>
        <w:tc>
          <w:tcPr/>
          <w:p>
            <w:pPr>
              <w:pStyle w:val="Compact"/>
            </w:pPr>
            <w:r>
              <w:t xml:space="preserve">Testes de mutação finais, revisão de cobertura</w:t>
            </w:r>
          </w:p>
        </w:tc>
        <w:tc>
          <w:tcPr/>
          <w:p>
            <w:pPr>
              <w:pStyle w:val="Compact"/>
            </w:pPr>
            <w:r>
              <w:t xml:space="preserve">Eduardo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12/jun</w:t>
            </w:r>
          </w:p>
        </w:tc>
        <w:tc>
          <w:tcPr/>
          <w:p>
            <w:pPr>
              <w:pStyle w:val="Compact"/>
            </w:pPr>
            <w:r>
              <w:t xml:space="preserve">Documentação final, relatório técnico, handoff</w:t>
            </w:r>
          </w:p>
        </w:tc>
        <w:tc>
          <w:tcPr/>
          <w:p>
            <w:pPr>
              <w:pStyle w:val="Compact"/>
            </w:pPr>
            <w:r>
              <w:t xml:space="preserve">Alerrandro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Relat��rio T��cnico ��� ComandaF��cil</dc:title>
  <dc:creator>Equipe ComandaF��cil</dc:creator>
  <cp:keywords/>
  <dcterms:created xsi:type="dcterms:W3CDTF">2026-06-02T16:40:52Z</dcterms:created>
  <dcterms:modified xsi:type="dcterms:W3CDTF">2026-06-02T16:40:52Z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