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jc w:val="center"/>
        <w:rPr>
          <w:rFonts w:cs="Times New Roman"/>
          <w:bCs/>
          <w:szCs w:val="20"/>
        </w:rPr>
      </w:pPr>
      <w:r>
        <w:rPr>
          <w:rFonts w:cs="Times New Roman"/>
          <w:bCs/>
          <w:szCs w:val="20"/>
        </w:rPr>
        <w:t>РАЗРАБОТКА ПРОГРАММНОГО МОДУЛЯ ДЛЯ ДЕКОДИРОВАНИЯ ЦИФРОВЫХ ГОЛОГРАММ</w:t>
      </w:r>
    </w:p>
    <w:p>
      <w:pPr>
        <w:pStyle w:val="Normal"/>
        <w:jc w:val="center"/>
        <w:rPr>
          <w:rFonts w:cs="Times New Roman"/>
          <w:bCs/>
          <w:szCs w:val="20"/>
        </w:rPr>
      </w:pPr>
      <w:r>
        <w:rPr>
          <w:rFonts w:cs="Times New Roman"/>
          <w:bCs/>
          <w:szCs w:val="20"/>
        </w:rPr>
        <w:br/>
        <w:t>А.Е. Потапов,</w:t>
      </w:r>
    </w:p>
    <w:p>
      <w:pPr>
        <w:pStyle w:val="Normal"/>
        <w:jc w:val="center"/>
        <w:rPr>
          <w:rFonts w:cs="Times New Roman"/>
          <w:bCs/>
          <w:szCs w:val="20"/>
        </w:rPr>
      </w:pPr>
      <w:r>
        <w:rPr>
          <w:rFonts w:cs="Times New Roman"/>
          <w:bCs/>
          <w:szCs w:val="20"/>
        </w:rPr>
        <w:t>Новосибирский государственный технический университет,</w:t>
      </w:r>
    </w:p>
    <w:p>
      <w:pPr>
        <w:pStyle w:val="Normal"/>
        <w:jc w:val="center"/>
        <w:rPr>
          <w:rFonts w:cs="Times New Roman"/>
          <w:bCs/>
          <w:szCs w:val="20"/>
        </w:rPr>
      </w:pPr>
      <w:r>
        <w:rPr>
          <w:rFonts w:cs="Times New Roman"/>
          <w:bCs/>
          <w:szCs w:val="20"/>
        </w:rPr>
        <w:t xml:space="preserve">г. Новосибирск, </w:t>
      </w:r>
      <w:hyperlink r:id="rId2">
        <w:r>
          <w:rPr>
            <w:rFonts w:cs="Times New Roman"/>
            <w:bCs/>
            <w:szCs w:val="20"/>
            <w:lang w:val="en-US"/>
          </w:rPr>
          <w:t>a</w:t>
        </w:r>
        <w:r>
          <w:rPr>
            <w:rFonts w:cs="Times New Roman"/>
            <w:bCs/>
            <w:szCs w:val="20"/>
            <w:lang w:val="ru-RU"/>
          </w:rPr>
          <w:t>.</w:t>
        </w:r>
        <w:r>
          <w:rPr>
            <w:rFonts w:cs="Times New Roman"/>
            <w:bCs/>
            <w:szCs w:val="20"/>
            <w:lang w:val="en-US"/>
          </w:rPr>
          <w:t>potapov</w:t>
        </w:r>
        <w:r>
          <w:rPr>
            <w:rFonts w:cs="Times New Roman"/>
            <w:bCs/>
            <w:szCs w:val="20"/>
            <w:lang w:val="ru-RU"/>
          </w:rPr>
          <w:t>.2017@</w:t>
        </w:r>
        <w:r>
          <w:rPr>
            <w:rFonts w:cs="Times New Roman"/>
            <w:bCs/>
            <w:szCs w:val="20"/>
            <w:lang w:val="en-US"/>
          </w:rPr>
          <w:t>stud</w:t>
        </w:r>
        <w:r>
          <w:rPr>
            <w:rFonts w:cs="Times New Roman"/>
            <w:bCs/>
            <w:szCs w:val="20"/>
            <w:lang w:val="ru-RU"/>
          </w:rPr>
          <w:t>.</w:t>
        </w:r>
        <w:r>
          <w:rPr>
            <w:rFonts w:cs="Times New Roman"/>
            <w:bCs/>
            <w:szCs w:val="20"/>
            <w:lang w:val="en-US"/>
          </w:rPr>
          <w:t>nstu</w:t>
        </w:r>
        <w:r>
          <w:rPr>
            <w:rFonts w:cs="Times New Roman"/>
            <w:bCs/>
            <w:szCs w:val="20"/>
            <w:lang w:val="ru-RU"/>
          </w:rPr>
          <w:t>.</w:t>
        </w:r>
        <w:r>
          <w:rPr>
            <w:rFonts w:cs="Times New Roman"/>
            <w:bCs/>
            <w:szCs w:val="20"/>
            <w:lang w:val="en-US"/>
          </w:rPr>
          <w:t>ru</w:t>
        </w:r>
      </w:hyperlink>
    </w:p>
    <w:p>
      <w:pPr>
        <w:pStyle w:val="Normal"/>
        <w:jc w:val="center"/>
        <w:rPr>
          <w:rFonts w:cs="Times New Roman"/>
          <w:bCs/>
          <w:szCs w:val="20"/>
        </w:rPr>
      </w:pPr>
      <w:r>
        <w:rPr>
          <w:rFonts w:cs="Times New Roman"/>
          <w:bCs/>
          <w:szCs w:val="20"/>
        </w:rPr>
        <w:t>Научный руководитель: А.Б. Колкер, кандидат технический наук, доцент</w:t>
      </w:r>
    </w:p>
    <w:p>
      <w:pPr>
        <w:pStyle w:val="Normal"/>
        <w:jc w:val="center"/>
        <w:rPr>
          <w:rFonts w:cs="Times New Roman"/>
          <w:bCs/>
          <w:sz w:val="28"/>
          <w:szCs w:val="28"/>
        </w:rPr>
      </w:pPr>
      <w:r>
        <w:rPr>
          <w:rFonts w:cs="Times New Roman"/>
          <w:bCs/>
          <w:sz w:val="28"/>
          <w:szCs w:val="28"/>
        </w:rPr>
      </w:r>
    </w:p>
    <w:p>
      <w:pPr>
        <w:pStyle w:val="Style17"/>
        <w:rPr/>
      </w:pPr>
      <w:r>
        <w:rPr>
          <w:i/>
          <w:iCs/>
        </w:rPr>
        <w:t xml:space="preserve">В статье рассматривается разработка программного модуля для реализации алгоритма декодирования цифровых голограмм в реальном времени. Данный модуль будет использоваться в экспериментальной установке, предназначенной для исследования голографии. Основной особенностью разрабатываемого модуля является использование графического процессора для реализации алгоритма пошагового фазового сдвига - </w:t>
      </w:r>
      <w:r>
        <w:rPr>
          <w:i/>
          <w:iCs/>
          <w:lang w:val="en-US"/>
        </w:rPr>
        <w:t>PSI</w:t>
      </w:r>
      <w:r>
        <w:rPr>
          <w:i/>
          <w:iCs/>
        </w:rPr>
        <w:t xml:space="preserve"> и преобразования Френеля.</w:t>
      </w:r>
    </w:p>
    <w:p>
      <w:pPr>
        <w:pStyle w:val="Style17"/>
        <w:rPr>
          <w:lang w:val="en-US"/>
        </w:rPr>
      </w:pPr>
      <w:r>
        <w:rPr>
          <w:i/>
          <w:iCs/>
          <w:lang w:val="en-US"/>
        </w:rPr>
        <w:t xml:space="preserve">The article discusses the development of a software module for the implementation of the algorithm for decoding digital holograms in real time. This module will be used in an experimental setup designed to research holography. The main feature of the developed module is the use of a graphics processor to implement the step-by-step phase shift algorithm - PSI and Fresnel transform. </w:t>
      </w:r>
    </w:p>
    <w:p>
      <w:pPr>
        <w:pStyle w:val="Style17"/>
        <w:rPr>
          <w:lang w:val="en-US"/>
        </w:rPr>
      </w:pPr>
      <w:r>
        <w:rPr/>
      </w:r>
    </w:p>
    <w:p>
      <w:pPr>
        <w:pStyle w:val="Style17"/>
        <w:rPr/>
      </w:pPr>
      <w:r>
        <w:rPr>
          <w:b/>
          <w:bCs/>
        </w:rPr>
        <w:t>Введение.</w:t>
      </w:r>
      <w:r>
        <w:rPr/>
        <w:t xml:space="preserve"> Голография – это метод регистрации произвольного колебательного процесса, позволяющий зафиксировать как амплитуду, так и фазу колебания, а затем воспроизвести их в любой удобный момент времени </w:t>
      </w:r>
      <w:r>
        <w:rPr>
          <w:lang w:val="en-US"/>
        </w:rPr>
        <w:t>[1]</w:t>
      </w:r>
      <w:r>
        <w:rPr/>
        <w:t>.</w:t>
      </w:r>
    </w:p>
    <w:p>
      <w:pPr>
        <w:pStyle w:val="Style17"/>
        <w:rPr/>
      </w:pPr>
      <w:r>
        <w:rPr/>
        <w:t>Основной особенностью цифровой голографии является то, что анализ, синтез и математическое преобразование происходит за счет средств вычислительной техники. Но для качественного проведения анализа цифровых голограмм необходимо обрабатывать большое количество цифровых голограмм за короткий промежуток времени.</w:t>
      </w:r>
    </w:p>
    <w:p>
      <w:pPr>
        <w:pStyle w:val="Style17"/>
        <w:rPr/>
      </w:pPr>
      <w:r>
        <w:rPr>
          <w:b/>
          <w:bCs/>
          <w:lang w:val="ru-RU"/>
        </w:rPr>
        <w:t>Цель</w:t>
      </w:r>
      <w:r>
        <w:rPr>
          <w:lang w:val="ru-RU"/>
        </w:rPr>
        <w:t xml:space="preserve"> данной работы заключается в разработке программного модуля для декодирования цифровых голограмм с использованием графического процессора.</w:t>
      </w:r>
      <w:r>
        <w:rPr>
          <w:lang w:val="ru-RU"/>
        </w:rPr>
        <w:t xml:space="preserve"> </w:t>
      </w:r>
    </w:p>
    <w:p>
      <w:pPr>
        <w:pStyle w:val="Style17"/>
        <w:rPr/>
      </w:pPr>
      <w:r>
        <w:rPr>
          <w:b/>
          <w:bCs/>
          <w:lang w:val="ru-RU"/>
        </w:rPr>
        <w:t>Актуальность</w:t>
      </w:r>
      <w:r>
        <w:rPr>
          <w:lang w:val="ru-RU"/>
        </w:rPr>
        <w:t xml:space="preserve"> работы заключается в том, что данный программный модуль позволяет производить декодирование цифровых голограмм в реальном времени. </w:t>
      </w:r>
    </w:p>
    <w:p>
      <w:pPr>
        <w:pStyle w:val="Style17"/>
        <w:rPr/>
      </w:pPr>
      <w:r>
        <w:rPr>
          <w:b/>
          <w:bCs/>
          <w:lang w:val="ru-RU"/>
        </w:rPr>
        <w:t>Новизна</w:t>
      </w:r>
      <w:r>
        <w:rPr>
          <w:lang w:val="ru-RU"/>
        </w:rPr>
        <w:t xml:space="preserve"> заключается разработке алгоритма </w:t>
      </w:r>
      <w:r>
        <w:rPr>
          <w:lang w:val="ru-RU"/>
        </w:rPr>
        <w:t xml:space="preserve">декодирования цифровых голограмм на основе </w:t>
      </w:r>
      <w:r>
        <w:rPr>
          <w:lang w:val="ru-RU"/>
        </w:rPr>
        <w:t>метода пошагового фазового сдвига</w:t>
      </w:r>
      <w:r>
        <w:rPr>
          <w:lang w:val="ru-RU"/>
        </w:rPr>
        <w:t xml:space="preserve"> </w:t>
      </w:r>
      <w:r>
        <w:rPr>
          <w:lang w:val="ru-RU"/>
        </w:rPr>
        <w:t>(</w:t>
      </w:r>
      <w:r>
        <w:rPr>
          <w:lang w:val="en-US"/>
        </w:rPr>
        <w:t>PSI</w:t>
      </w:r>
      <w:r>
        <w:rPr>
          <w:lang w:val="ru-RU"/>
        </w:rPr>
        <w:t>)</w:t>
      </w:r>
      <w:r>
        <w:rPr>
          <w:lang w:val="en-US"/>
        </w:rPr>
        <w:t xml:space="preserve"> </w:t>
      </w:r>
      <w:r>
        <w:rPr>
          <w:lang w:val="ru-RU"/>
        </w:rPr>
        <w:t xml:space="preserve">и преобразования Френеля, </w:t>
      </w:r>
      <w:r>
        <w:rPr>
          <w:lang w:val="ru-RU"/>
        </w:rPr>
        <w:t>все математические операции производятся на графическом процессоре</w:t>
      </w:r>
      <w:r>
        <w:rPr>
          <w:lang w:val="ru-RU"/>
        </w:rPr>
        <w:t>.</w:t>
      </w:r>
    </w:p>
    <w:p>
      <w:pPr>
        <w:pStyle w:val="Style17"/>
        <w:rPr/>
      </w:pPr>
      <w:r>
        <w:rPr>
          <w:b/>
          <w:bCs/>
        </w:rPr>
        <w:t xml:space="preserve">Описание алгоритмов декодирования цифровых голограмм. </w:t>
      </w:r>
      <w:r>
        <w:rPr/>
        <w:t xml:space="preserve">Первым этапом декодирования цифровых голограмм является определение значений амплитуды и фазы по картинам интенсивности, полученные на этапе регистрации цифровой голограммы. Для этого этапа используется алгоритм пошагового фазового сдвига — </w:t>
      </w:r>
      <w:r>
        <w:rPr>
          <w:lang w:val="en-US"/>
        </w:rPr>
        <w:t>PSI</w:t>
      </w:r>
      <w:r>
        <w:rPr/>
        <w:t xml:space="preserve"> [2]. Его формула представлена ниже.</w:t>
      </w:r>
    </w:p>
    <w:p>
      <w:pPr>
        <w:pStyle w:val="Style17"/>
        <w:jc w:val="center"/>
        <w:rPr/>
      </w:pPr>
      <w:r>
        <w:rPr/>
        <mc:AlternateContent>
          <mc:Choice Requires="wps">
            <w:drawing>
              <wp:anchor behindDoc="0" distT="0" distB="0" distL="0" distR="0" simplePos="0" locked="0" layoutInCell="0" allowOverlap="1" relativeHeight="8">
                <wp:simplePos x="0" y="0"/>
                <wp:positionH relativeFrom="column">
                  <wp:posOffset>3766185</wp:posOffset>
                </wp:positionH>
                <wp:positionV relativeFrom="paragraph">
                  <wp:posOffset>14605</wp:posOffset>
                </wp:positionV>
                <wp:extent cx="190500" cy="174625"/>
                <wp:effectExtent l="0" t="0" r="0" b="0"/>
                <wp:wrapNone/>
                <wp:docPr id="1" name="Врезка1"/>
                <a:graphic xmlns:a="http://schemas.openxmlformats.org/drawingml/2006/main">
                  <a:graphicData uri="http://schemas.microsoft.com/office/word/2010/wordprocessingShape">
                    <wps:wsp>
                      <wps:cNvSpPr/>
                      <wps:spPr>
                        <a:xfrm>
                          <a:off x="0" y="0"/>
                          <a:ext cx="190440" cy="174600"/>
                        </a:xfrm>
                        <a:prstGeom prst="rect">
                          <a:avLst/>
                        </a:prstGeom>
                        <a:noFill/>
                        <a:ln w="0">
                          <a:noFill/>
                        </a:ln>
                      </wps:spPr>
                      <wps:style>
                        <a:lnRef idx="0"/>
                        <a:fillRef idx="0"/>
                        <a:effectRef idx="0"/>
                        <a:fontRef idx="minor"/>
                      </wps:style>
                      <wps:txbx>
                        <w:txbxContent>
                          <w:p>
                            <w:pPr>
                              <w:pStyle w:val="Normal"/>
                              <w:overflowPunct w:val="true"/>
                              <w:rPr>
                                <w:b w:val="false"/>
                                <w:b w:val="false"/>
                                <w:szCs w:val="20"/>
                              </w:rPr>
                            </w:pPr>
                            <w:r>
                              <w:rPr>
                                <w:b w:val="false"/>
                                <w:szCs w:val="20"/>
                              </w:rPr>
                              <w:t>(1)</w:t>
                            </w:r>
                            <m:oMathPara xmlns:m="http://schemas.openxmlformats.org/officeDocument/2006/math">
                              <m:oMathParaPr>
                                <m:jc m:val="center"/>
                              </m:oMathParaPr>
                              <m:oMath>
                                <m:acc>
                                  <m:accPr>
                                    <m:chr m:val="⃗"/>
                                  </m:accPr>
                                  <m:e>
                                    <m:r>
                                      <w:rPr>
                                        <w:rFonts w:ascii="Cambria Math" w:hAnsi="Cambria Math"/>
                                      </w:rPr>
                                      <m:t xml:space="preserve">I</m:t>
                                    </m:r>
                                  </m:e>
                                </m:acc>
                                <m:r>
                                  <w:rPr>
                                    <w:rFonts w:ascii="Cambria Math" w:hAnsi="Cambria Math"/>
                                  </w:rPr>
                                  <m:t xml:space="preserve">=</m:t>
                                </m:r>
                                <m:sSub>
                                  <m:e>
                                    <m:r>
                                      <w:rPr>
                                        <w:rFonts w:ascii="Cambria Math" w:hAnsi="Cambria Math"/>
                                      </w:rPr>
                                      <m:t xml:space="preserve">I</m:t>
                                    </m:r>
                                  </m:e>
                                  <m:sub>
                                    <m:r>
                                      <w:rPr>
                                        <w:rFonts w:ascii="Cambria Math" w:hAnsi="Cambria Math"/>
                                      </w:rPr>
                                      <m:t xml:space="preserve">0</m:t>
                                    </m:r>
                                  </m:sub>
                                </m:sSub>
                                <m:acc>
                                  <m:accPr>
                                    <m:chr m:val="⃗"/>
                                  </m:accPr>
                                  <m:e>
                                    <m:r>
                                      <w:rPr>
                                        <w:rFonts w:ascii="Cambria Math" w:hAnsi="Cambria Math"/>
                                      </w:rPr>
                                      <m:t xml:space="preserve">R</m:t>
                                    </m:r>
                                  </m:e>
                                </m:acc>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0</m:t>
                                        </m:r>
                                      </m:sub>
                                    </m:sSub>
                                    <m:r>
                                      <w:rPr>
                                        <w:rFonts w:ascii="Cambria Math" w:hAnsi="Cambria Math"/>
                                      </w:rPr>
                                      <m:t xml:space="preserve">V</m:t>
                                    </m:r>
                                    <m:r>
                                      <w:rPr>
                                        <w:rFonts w:ascii="Cambria Math" w:hAnsi="Cambria Math"/>
                                      </w:rPr>
                                      <m:t xml:space="preserve">cos</m:t>
                                    </m:r>
                                    <m:r>
                                      <w:rPr>
                                        <w:rFonts w:ascii="Cambria Math" w:hAnsi="Cambria Math"/>
                                      </w:rPr>
                                      <m:t xml:space="preserve">φ</m:t>
                                    </m:r>
                                  </m:e>
                                </m:d>
                                <m:acc>
                                  <m:accPr>
                                    <m:chr m:val="⃗"/>
                                  </m:accPr>
                                  <m:e>
                                    <m:r>
                                      <w:rPr>
                                        <w:rFonts w:ascii="Cambria Math" w:hAnsi="Cambria Math"/>
                                      </w:rPr>
                                      <m:t xml:space="preserve">C</m:t>
                                    </m:r>
                                  </m:e>
                                </m:acc>
                                <m:r>
                                  <w:rPr>
                                    <w:rFonts w:ascii="Cambria Math" w:hAnsi="Cambria Math"/>
                                  </w:rPr>
                                  <m:t xml:space="preserve">−</m:t>
                                </m:r>
                                <m:d>
                                  <m:dPr>
                                    <m:begChr m:val="("/>
                                    <m:endChr m:val=")"/>
                                  </m:dPr>
                                  <m:e>
                                    <m:sSub>
                                      <m:e>
                                        <m:r>
                                          <w:rPr>
                                            <w:rFonts w:ascii="Cambria Math" w:hAnsi="Cambria Math"/>
                                          </w:rPr>
                                          <m:t xml:space="preserve">I</m:t>
                                        </m:r>
                                      </m:e>
                                      <m:sub>
                                        <m:r>
                                          <w:rPr>
                                            <w:rFonts w:ascii="Cambria Math" w:hAnsi="Cambria Math"/>
                                          </w:rPr>
                                          <m:t xml:space="preserve">0</m:t>
                                        </m:r>
                                      </m:sub>
                                    </m:sSub>
                                    <m:r>
                                      <w:rPr>
                                        <w:rFonts w:ascii="Cambria Math" w:hAnsi="Cambria Math"/>
                                      </w:rPr>
                                      <m:t xml:space="preserve">V</m:t>
                                    </m:r>
                                    <m:r>
                                      <w:rPr>
                                        <w:rFonts w:ascii="Cambria Math" w:hAnsi="Cambria Math"/>
                                      </w:rPr>
                                      <m:t xml:space="preserve">sin</m:t>
                                    </m:r>
                                    <m:r>
                                      <w:rPr>
                                        <w:rFonts w:ascii="Cambria Math" w:hAnsi="Cambria Math"/>
                                      </w:rPr>
                                      <m:t xml:space="preserve">φ</m:t>
                                    </m:r>
                                  </m:e>
                                </m:d>
                                <m:acc>
                                  <m:accPr>
                                    <m:chr m:val="⃗"/>
                                  </m:accPr>
                                  <m:e>
                                    <m:r>
                                      <w:rPr>
                                        <w:rFonts w:ascii="Cambria Math" w:hAnsi="Cambria Math"/>
                                      </w:rPr>
                                      <m:t xml:space="preserve">S</m:t>
                                    </m:r>
                                  </m:e>
                                </m:acc>
                              </m:oMath>
                            </m:oMathPara>
                          </w:p>
                        </w:txbxContent>
                      </wps:txbx>
                      <wps:bodyPr lIns="720" rIns="720" tIns="720" bIns="720" anchor="t">
                        <a:noAutofit/>
                      </wps:bodyPr>
                    </wps:wsp>
                  </a:graphicData>
                </a:graphic>
              </wp:anchor>
            </w:drawing>
          </mc:Choice>
          <mc:Fallback>
            <w:pict>
              <v:rect id="shape_0" ID="Врезка1" path="m0,0l-2147483645,0l-2147483645,-2147483646l0,-2147483646xe" fillcolor="white" stroked="f" o:allowincell="f" style="position:absolute;margin-left:296.55pt;margin-top:1.15pt;width:14.95pt;height:13.7pt;mso-wrap-style:square;v-text-anchor:top">
                <v:fill o:detectmouseclick="t" type="solid" color2="black" opacity="0"/>
                <v:stroke color="#3465a4" joinstyle="round" endcap="flat"/>
                <v:textbox>
                  <w:txbxContent>
                    <w:p>
                      <w:pPr>
                        <w:pStyle w:val="Normal"/>
                        <w:overflowPunct w:val="true"/>
                        <w:rPr>
                          <w:b w:val="false"/>
                          <w:b w:val="false"/>
                          <w:szCs w:val="20"/>
                        </w:rPr>
                      </w:pPr>
                      <w:r>
                        <w:rPr>
                          <w:b w:val="false"/>
                          <w:szCs w:val="20"/>
                        </w:rPr>
                        <w:t>(1)</w:t>
                      </w:r>
                    </w:p>
                  </w:txbxContent>
                </v:textbox>
                <w10:wrap type="none"/>
              </v:rect>
            </w:pict>
          </mc:Fallback>
        </mc:AlternateContent>
      </w:r>
    </w:p>
    <w:p>
      <w:pPr>
        <w:pStyle w:val="Style17"/>
        <w:rPr/>
      </w:pPr>
      <w:r>
        <w:rPr/>
        <w:t>При помощи формулы 1 можно получить математическую модуль голограммы вида:</w:t>
      </w:r>
    </w:p>
    <w:p>
      <w:pPr>
        <w:pStyle w:val="Style17"/>
        <w:jc w:val="center"/>
        <w:rPr/>
      </w:pPr>
      <w:r>
        <w:rPr/>
        <mc:AlternateContent>
          <mc:Choice Requires="wps">
            <w:drawing>
              <wp:anchor behindDoc="0" distT="0" distB="0" distL="0" distR="0" simplePos="0" locked="0" layoutInCell="0" allowOverlap="1" relativeHeight="4">
                <wp:simplePos x="0" y="0"/>
                <wp:positionH relativeFrom="column">
                  <wp:posOffset>3766185</wp:posOffset>
                </wp:positionH>
                <wp:positionV relativeFrom="paragraph">
                  <wp:posOffset>14605</wp:posOffset>
                </wp:positionV>
                <wp:extent cx="190500" cy="174625"/>
                <wp:effectExtent l="0" t="0" r="0" b="0"/>
                <wp:wrapNone/>
                <wp:docPr id="3" name="Врезка2"/>
                <a:graphic xmlns:a="http://schemas.openxmlformats.org/drawingml/2006/main">
                  <a:graphicData uri="http://schemas.microsoft.com/office/word/2010/wordprocessingShape">
                    <wps:wsp>
                      <wps:cNvSpPr/>
                      <wps:spPr>
                        <a:xfrm>
                          <a:off x="0" y="0"/>
                          <a:ext cx="190440" cy="174600"/>
                        </a:xfrm>
                        <a:prstGeom prst="rect">
                          <a:avLst/>
                        </a:prstGeom>
                        <a:noFill/>
                        <a:ln w="0">
                          <a:noFill/>
                        </a:ln>
                      </wps:spPr>
                      <wps:style>
                        <a:lnRef idx="0"/>
                        <a:fillRef idx="0"/>
                        <a:effectRef idx="0"/>
                        <a:fontRef idx="minor"/>
                      </wps:style>
                      <wps:txbx>
                        <w:txbxContent>
                          <w:p>
                            <w:pPr>
                              <w:pStyle w:val="Normal"/>
                              <w:overflowPunct w:val="true"/>
                              <w:rPr>
                                <w:b w:val="false"/>
                                <w:b w:val="false"/>
                                <w:szCs w:val="20"/>
                              </w:rPr>
                            </w:pPr>
                            <w:r>
                              <w:rPr>
                                <w:b w:val="false"/>
                                <w:szCs w:val="20"/>
                              </w:rPr>
                              <w:t>(2)</w:t>
                            </w:r>
                            <m:oMathPara xmlns:m="http://schemas.openxmlformats.org/officeDocument/2006/math">
                              <m:oMathParaPr>
                                <m:jc m:val="center"/>
                              </m:oMathParaPr>
                              <m:oMath>
                                <m:r>
                                  <w:rPr>
                                    <w:rFonts w:ascii="Cambria Math" w:hAnsi="Cambria Math"/>
                                  </w:rPr>
                                  <m:t xml:space="preserve">G</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sSub>
                                  <m:e>
                                    <m:r>
                                      <w:rPr>
                                        <w:rFonts w:ascii="Cambria Math" w:hAnsi="Cambria Math"/>
                                      </w:rPr>
                                      <m:t xml:space="preserve">a</m:t>
                                    </m:r>
                                  </m:e>
                                  <m:sub>
                                    <m:r>
                                      <w:rPr>
                                        <w:rFonts w:ascii="Cambria Math" w:hAnsi="Cambria Math"/>
                                      </w:rPr>
                                      <m:t xml:space="preserve">p</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Sup>
                                  <m:e>
                                    <m:r>
                                      <w:rPr>
                                        <w:rFonts w:ascii="Cambria Math" w:hAnsi="Cambria Math"/>
                                      </w:rPr>
                                      <m:t xml:space="preserve">exp</m:t>
                                    </m:r>
                                  </m:e>
                                  <m:sup>
                                    <m:r>
                                      <w:rPr>
                                        <w:rFonts w:ascii="Cambria Math" w:hAnsi="Cambria Math"/>
                                      </w:rPr>
                                      <m:t xml:space="preserve">−</m:t>
                                    </m:r>
                                    <m:r>
                                      <w:rPr>
                                        <w:rFonts w:ascii="Cambria Math" w:hAnsi="Cambria Math"/>
                                      </w:rPr>
                                      <m:t xml:space="preserve">i</m:t>
                                    </m:r>
                                    <m:sSub>
                                      <m:e>
                                        <m:r>
                                          <w:rPr>
                                            <w:rFonts w:ascii="Cambria Math" w:hAnsi="Cambria Math"/>
                                          </w:rPr>
                                          <m:t xml:space="preserve">φ</m:t>
                                        </m:r>
                                      </m:e>
                                      <m:sub>
                                        <m:r>
                                          <w:rPr>
                                            <w:rFonts w:ascii="Cambria Math" w:hAnsi="Cambria Math"/>
                                          </w:rPr>
                                          <m:t xml:space="preserve">p</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sup>
                                </m:sSup>
                              </m:oMath>
                            </m:oMathPara>
                          </w:p>
                        </w:txbxContent>
                      </wps:txbx>
                      <wps:bodyPr lIns="720" rIns="720" tIns="720" bIns="720" anchor="t">
                        <a:noAutofit/>
                      </wps:bodyPr>
                    </wps:wsp>
                  </a:graphicData>
                </a:graphic>
              </wp:anchor>
            </w:drawing>
          </mc:Choice>
          <mc:Fallback>
            <w:pict>
              <v:rect id="shape_0" ID="Врезка2" path="m0,0l-2147483645,0l-2147483645,-2147483646l0,-2147483646xe" fillcolor="white" stroked="f" o:allowincell="f" style="position:absolute;margin-left:296.55pt;margin-top:1.15pt;width:14.95pt;height:13.7pt;mso-wrap-style:square;v-text-anchor:top">
                <v:fill o:detectmouseclick="t" type="solid" color2="black" opacity="0"/>
                <v:stroke color="#3465a4" joinstyle="round" endcap="flat"/>
                <v:textbox>
                  <w:txbxContent>
                    <w:p>
                      <w:pPr>
                        <w:pStyle w:val="Normal"/>
                        <w:overflowPunct w:val="true"/>
                        <w:rPr>
                          <w:b w:val="false"/>
                          <w:b w:val="false"/>
                          <w:szCs w:val="20"/>
                        </w:rPr>
                      </w:pPr>
                      <w:r>
                        <w:rPr>
                          <w:b w:val="false"/>
                          <w:szCs w:val="20"/>
                        </w:rPr>
                        <w:t>(2)</w:t>
                      </w:r>
                    </w:p>
                  </w:txbxContent>
                </v:textbox>
                <w10:wrap type="none"/>
              </v:rect>
            </w:pict>
          </mc:Fallback>
        </mc:AlternateContent>
      </w:r>
    </w:p>
    <w:p>
      <w:pPr>
        <w:pStyle w:val="Style17"/>
        <w:ind w:left="0" w:right="0" w:hanging="0"/>
        <w:rPr/>
      </w:pPr>
      <w:r>
        <w:rPr/>
        <w:t>где</w:t>
      </w:r>
    </w:p>
    <w:p>
      <w:pPr>
        <w:pStyle w:val="Style17"/>
        <w:jc w:val="center"/>
        <w:rPr/>
      </w:pPr>
      <w:r>
        <w:rPr/>
        <mc:AlternateContent>
          <mc:Choice Requires="wps">
            <w:drawing>
              <wp:anchor behindDoc="0" distT="0" distB="0" distL="0" distR="0" simplePos="0" locked="0" layoutInCell="0" allowOverlap="1" relativeHeight="6">
                <wp:simplePos x="0" y="0"/>
                <wp:positionH relativeFrom="column">
                  <wp:posOffset>3766185</wp:posOffset>
                </wp:positionH>
                <wp:positionV relativeFrom="paragraph">
                  <wp:posOffset>116205</wp:posOffset>
                </wp:positionV>
                <wp:extent cx="190500" cy="174625"/>
                <wp:effectExtent l="0" t="0" r="0" b="0"/>
                <wp:wrapNone/>
                <wp:docPr id="5" name="Врезка3"/>
                <a:graphic xmlns:a="http://schemas.openxmlformats.org/drawingml/2006/main">
                  <a:graphicData uri="http://schemas.microsoft.com/office/word/2010/wordprocessingShape">
                    <wps:wsp>
                      <wps:cNvSpPr/>
                      <wps:spPr>
                        <a:xfrm>
                          <a:off x="0" y="0"/>
                          <a:ext cx="190440" cy="174600"/>
                        </a:xfrm>
                        <a:prstGeom prst="rect">
                          <a:avLst/>
                        </a:prstGeom>
                        <a:noFill/>
                        <a:ln w="0">
                          <a:noFill/>
                        </a:ln>
                      </wps:spPr>
                      <wps:style>
                        <a:lnRef idx="0"/>
                        <a:fillRef idx="0"/>
                        <a:effectRef idx="0"/>
                        <a:fontRef idx="minor"/>
                      </wps:style>
                      <wps:txbx>
                        <w:txbxContent>
                          <w:p>
                            <w:pPr>
                              <w:pStyle w:val="Normal"/>
                              <w:overflowPunct w:val="true"/>
                              <w:rPr>
                                <w:b w:val="false"/>
                                <w:b w:val="false"/>
                                <w:szCs w:val="20"/>
                              </w:rPr>
                            </w:pPr>
                            <w:r>
                              <w:rPr>
                                <w:b w:val="false"/>
                                <w:szCs w:val="20"/>
                              </w:rPr>
                              <w:t>(3)</w:t>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p</m:t>
                                    </m:r>
                                  </m:sub>
                                </m:s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f>
                                  <m:num>
                                    <m:r>
                                      <w:rPr>
                                        <w:rFonts w:ascii="Cambria Math" w:hAnsi="Cambria Math"/>
                                      </w:rPr>
                                      <m:t xml:space="preserve">1</m:t>
                                    </m:r>
                                  </m:num>
                                  <m:den>
                                    <m:d>
                                      <m:dPr>
                                        <m:begChr m:val="|"/>
                                        <m:endChr m:val="|"/>
                                      </m:dPr>
                                      <m:e>
                                        <m:acc>
                                          <m:accPr>
                                            <m:chr m:val="⃗"/>
                                          </m:accPr>
                                          <m:e>
                                            <m:r>
                                              <w:rPr>
                                                <w:rFonts w:ascii="Cambria Math" w:hAnsi="Cambria Math"/>
                                              </w:rPr>
                                              <m:t xml:space="preserve">C</m:t>
                                            </m:r>
                                          </m:e>
                                        </m:acc>
                                        <m:acc>
                                          <m:accPr>
                                            <m:chr m:val="⃗"/>
                                          </m:accPr>
                                          <m:e>
                                            <m:sSup>
                                              <m:e>
                                                <m:r>
                                                  <w:rPr>
                                                    <w:rFonts w:ascii="Cambria Math" w:hAnsi="Cambria Math"/>
                                                  </w:rPr>
                                                  <m:t xml:space="preserve">S</m:t>
                                                </m:r>
                                              </m:e>
                                              <m:sup>
                                                <m:r>
                                                  <w:rPr>
                                                    <w:rFonts w:ascii="Cambria Math" w:hAnsi="Cambria Math"/>
                                                  </w:rPr>
                                                  <m:t xml:space="preserve">⊥</m:t>
                                                </m:r>
                                              </m:sup>
                                            </m:sSup>
                                          </m:e>
                                        </m:acc>
                                      </m:e>
                                    </m:d>
                                  </m:den>
                                </m:f>
                                <m:rad>
                                  <m:radPr>
                                    <m:degHide m:val="1"/>
                                  </m:radPr>
                                  <m:deg/>
                                  <m:e>
                                    <m:sSup>
                                      <m:e>
                                        <m:d>
                                          <m:dPr>
                                            <m:begChr m:val="("/>
                                            <m:endChr m:val=")"/>
                                          </m:dPr>
                                          <m:e>
                                            <m:acc>
                                              <m:accPr>
                                                <m:chr m:val="⃗"/>
                                              </m:accPr>
                                              <m:e>
                                                <m:r>
                                                  <w:rPr>
                                                    <w:rFonts w:ascii="Cambria Math" w:hAnsi="Cambria Math"/>
                                                  </w:rPr>
                                                  <m:t xml:space="preserve">I</m:t>
                                                </m:r>
                                              </m:e>
                                            </m:acc>
                                            <m:acc>
                                              <m:accPr>
                                                <m:chr m:val="⃗"/>
                                              </m:accPr>
                                              <m:e>
                                                <m:sSup>
                                                  <m:e>
                                                    <m:r>
                                                      <w:rPr>
                                                        <w:rFonts w:ascii="Cambria Math" w:hAnsi="Cambria Math"/>
                                                      </w:rPr>
                                                      <m:t xml:space="preserve">S</m:t>
                                                    </m:r>
                                                  </m:e>
                                                  <m:sup>
                                                    <m:r>
                                                      <w:rPr>
                                                        <w:rFonts w:ascii="Cambria Math" w:hAnsi="Cambria Math"/>
                                                      </w:rPr>
                                                      <m:t xml:space="preserve">⊥</m:t>
                                                    </m:r>
                                                  </m:sup>
                                                </m:sSup>
                                              </m:e>
                                            </m:acc>
                                          </m:e>
                                        </m:d>
                                      </m:e>
                                      <m:sup>
                                        <m:r>
                                          <w:rPr>
                                            <w:rFonts w:ascii="Cambria Math" w:hAnsi="Cambria Math"/>
                                          </w:rPr>
                                          <m:t xml:space="preserve">2</m:t>
                                        </m:r>
                                      </m:sup>
                                    </m:sSup>
                                    <m:r>
                                      <w:rPr>
                                        <w:rFonts w:ascii="Cambria Math" w:hAnsi="Cambria Math"/>
                                      </w:rPr>
                                      <m:t xml:space="preserve">+</m:t>
                                    </m:r>
                                    <m:sSup>
                                      <m:e>
                                        <m:d>
                                          <m:dPr>
                                            <m:begChr m:val="("/>
                                            <m:endChr m:val=")"/>
                                          </m:dPr>
                                          <m:e>
                                            <m:acc>
                                              <m:accPr>
                                                <m:chr m:val="⃗"/>
                                              </m:accPr>
                                              <m:e>
                                                <m:r>
                                                  <w:rPr>
                                                    <w:rFonts w:ascii="Cambria Math" w:hAnsi="Cambria Math"/>
                                                  </w:rPr>
                                                  <m:t xml:space="preserve">I</m:t>
                                                </m:r>
                                              </m:e>
                                            </m:acc>
                                            <m:acc>
                                              <m:accPr>
                                                <m:chr m:val="⃗"/>
                                              </m:accPr>
                                              <m:e>
                                                <m:sSup>
                                                  <m:e>
                                                    <m:r>
                                                      <w:rPr>
                                                        <w:rFonts w:ascii="Cambria Math" w:hAnsi="Cambria Math"/>
                                                      </w:rPr>
                                                      <m:t xml:space="preserve">C</m:t>
                                                    </m:r>
                                                  </m:e>
                                                  <m:sup>
                                                    <m:r>
                                                      <w:rPr>
                                                        <w:rFonts w:ascii="Cambria Math" w:hAnsi="Cambria Math"/>
                                                      </w:rPr>
                                                      <m:t xml:space="preserve">⊥</m:t>
                                                    </m:r>
                                                  </m:sup>
                                                </m:sSup>
                                              </m:e>
                                            </m:acc>
                                          </m:e>
                                        </m:d>
                                      </m:e>
                                      <m:sup>
                                        <m:r>
                                          <w:rPr>
                                            <w:rFonts w:ascii="Cambria Math" w:hAnsi="Cambria Math"/>
                                          </w:rPr>
                                          <m:t xml:space="preserve">2</m:t>
                                        </m:r>
                                      </m:sup>
                                    </m:sSup>
                                  </m:e>
                                </m:rad>
                              </m:oMath>
                            </m:oMathPara>
                          </w:p>
                        </w:txbxContent>
                      </wps:txbx>
                      <wps:bodyPr lIns="720" rIns="720" tIns="720" bIns="720" anchor="t">
                        <a:noAutofit/>
                      </wps:bodyPr>
                    </wps:wsp>
                  </a:graphicData>
                </a:graphic>
              </wp:anchor>
            </w:drawing>
          </mc:Choice>
          <mc:Fallback>
            <w:pict>
              <v:rect id="shape_0" ID="Врезка3" path="m0,0l-2147483645,0l-2147483645,-2147483646l0,-2147483646xe" fillcolor="white" stroked="f" o:allowincell="f" style="position:absolute;margin-left:296.55pt;margin-top:9.15pt;width:14.95pt;height:13.7pt;mso-wrap-style:square;v-text-anchor:top">
                <v:fill o:detectmouseclick="t" type="solid" color2="black" opacity="0"/>
                <v:stroke color="#3465a4" joinstyle="round" endcap="flat"/>
                <v:textbox>
                  <w:txbxContent>
                    <w:p>
                      <w:pPr>
                        <w:pStyle w:val="Normal"/>
                        <w:overflowPunct w:val="true"/>
                        <w:rPr>
                          <w:b w:val="false"/>
                          <w:b w:val="false"/>
                          <w:szCs w:val="20"/>
                        </w:rPr>
                      </w:pPr>
                      <w:r>
                        <w:rPr>
                          <w:b w:val="false"/>
                          <w:szCs w:val="20"/>
                        </w:rPr>
                        <w:t>(3)</w:t>
                      </w:r>
                    </w:p>
                  </w:txbxContent>
                </v:textbox>
                <w10:wrap type="none"/>
              </v:rect>
            </w:pict>
          </mc:Fallback>
        </mc:AlternateContent>
      </w:r>
    </w:p>
    <w:p>
      <w:pPr>
        <w:pStyle w:val="Style17"/>
        <w:jc w:val="center"/>
        <w:rPr/>
      </w:pPr>
      <w:r>
        <w:rPr/>
        <mc:AlternateContent>
          <mc:Choice Requires="wps">
            <w:drawing>
              <wp:anchor behindDoc="0" distT="0" distB="0" distL="0" distR="0" simplePos="0" locked="0" layoutInCell="0" allowOverlap="1" relativeHeight="10">
                <wp:simplePos x="0" y="0"/>
                <wp:positionH relativeFrom="column">
                  <wp:posOffset>3761740</wp:posOffset>
                </wp:positionH>
                <wp:positionV relativeFrom="paragraph">
                  <wp:posOffset>172085</wp:posOffset>
                </wp:positionV>
                <wp:extent cx="190500" cy="174625"/>
                <wp:effectExtent l="0" t="0" r="0" b="0"/>
                <wp:wrapNone/>
                <wp:docPr id="7" name="Врезка4"/>
                <a:graphic xmlns:a="http://schemas.openxmlformats.org/drawingml/2006/main">
                  <a:graphicData uri="http://schemas.microsoft.com/office/word/2010/wordprocessingShape">
                    <wps:wsp>
                      <wps:cNvSpPr/>
                      <wps:spPr>
                        <a:xfrm>
                          <a:off x="0" y="0"/>
                          <a:ext cx="190440" cy="174600"/>
                        </a:xfrm>
                        <a:prstGeom prst="rect">
                          <a:avLst/>
                        </a:prstGeom>
                        <a:noFill/>
                        <a:ln w="0">
                          <a:noFill/>
                        </a:ln>
                      </wps:spPr>
                      <wps:style>
                        <a:lnRef idx="0"/>
                        <a:fillRef idx="0"/>
                        <a:effectRef idx="0"/>
                        <a:fontRef idx="minor"/>
                      </wps:style>
                      <wps:txbx>
                        <w:txbxContent>
                          <w:p>
                            <w:pPr>
                              <w:pStyle w:val="Normal"/>
                              <w:overflowPunct w:val="true"/>
                              <w:rPr>
                                <w:b w:val="false"/>
                                <w:b w:val="false"/>
                                <w:szCs w:val="20"/>
                              </w:rPr>
                            </w:pPr>
                            <w:r>
                              <w:rPr>
                                <w:b w:val="false"/>
                                <w:szCs w:val="20"/>
                              </w:rPr>
                              <w:t>(4)</w:t>
                            </w:r>
                            <m:oMathPara xmlns:m="http://schemas.openxmlformats.org/officeDocument/2006/math">
                              <m:oMathParaPr>
                                <m:jc m:val="center"/>
                              </m:oMathParaPr>
                              <m:oMath>
                                <m:r>
                                  <w:rPr>
                                    <w:rFonts w:ascii="Cambria Math" w:hAnsi="Cambria Math"/>
                                  </w:rPr>
                                  <m:t xml:space="preserve">φ</m:t>
                                </m:r>
                                <m:r>
                                  <w:rPr>
                                    <w:rFonts w:ascii="Cambria Math" w:hAnsi="Cambria Math"/>
                                  </w:rPr>
                                  <m:t xml:space="preserve">=</m:t>
                                </m:r>
                                <m:r>
                                  <w:rPr>
                                    <w:rFonts w:ascii="Cambria Math" w:hAnsi="Cambria Math"/>
                                  </w:rPr>
                                  <m:t xml:space="preserve">arctan</m:t>
                                </m:r>
                                <m:d>
                                  <m:dPr>
                                    <m:begChr m:val="("/>
                                    <m:endChr m:val=")"/>
                                  </m:dPr>
                                  <m:e>
                                    <m:f>
                                      <m:num>
                                        <m:acc>
                                          <m:accPr>
                                            <m:chr m:val="⃗"/>
                                          </m:accPr>
                                          <m:e>
                                            <m:r>
                                              <w:rPr>
                                                <w:rFonts w:ascii="Cambria Math" w:hAnsi="Cambria Math"/>
                                              </w:rPr>
                                              <m:t xml:space="preserve">I</m:t>
                                            </m:r>
                                          </m:e>
                                        </m:acc>
                                        <m:acc>
                                          <m:accPr>
                                            <m:chr m:val="⃗"/>
                                          </m:accPr>
                                          <m:e>
                                            <m:sSup>
                                              <m:e>
                                                <m:r>
                                                  <w:rPr>
                                                    <w:rFonts w:ascii="Cambria Math" w:hAnsi="Cambria Math"/>
                                                  </w:rPr>
                                                  <m:t xml:space="preserve">C</m:t>
                                                </m:r>
                                              </m:e>
                                              <m:sup>
                                                <m:r>
                                                  <w:rPr>
                                                    <w:rFonts w:ascii="Cambria Math" w:hAnsi="Cambria Math"/>
                                                  </w:rPr>
                                                  <m:t xml:space="preserve">⊥</m:t>
                                                </m:r>
                                              </m:sup>
                                            </m:sSup>
                                          </m:e>
                                        </m:acc>
                                      </m:num>
                                      <m:den>
                                        <m:acc>
                                          <m:accPr>
                                            <m:chr m:val="⃗"/>
                                          </m:accPr>
                                          <m:e>
                                            <m:r>
                                              <w:rPr>
                                                <w:rFonts w:ascii="Cambria Math" w:hAnsi="Cambria Math"/>
                                              </w:rPr>
                                              <m:t xml:space="preserve">I</m:t>
                                            </m:r>
                                          </m:e>
                                        </m:acc>
                                        <m:acc>
                                          <m:accPr>
                                            <m:chr m:val="⃗"/>
                                          </m:accPr>
                                          <m:e>
                                            <m:sSup>
                                              <m:e>
                                                <m:r>
                                                  <w:rPr>
                                                    <w:rFonts w:ascii="Cambria Math" w:hAnsi="Cambria Math"/>
                                                  </w:rPr>
                                                  <m:t xml:space="preserve">S</m:t>
                                                </m:r>
                                              </m:e>
                                              <m:sup>
                                                <m:r>
                                                  <w:rPr>
                                                    <w:rFonts w:ascii="Cambria Math" w:hAnsi="Cambria Math"/>
                                                  </w:rPr>
                                                  <m:t xml:space="preserve">⊥</m:t>
                                                </m:r>
                                              </m:sup>
                                            </m:sSup>
                                          </m:e>
                                        </m:acc>
                                      </m:den>
                                    </m:f>
                                  </m:e>
                                </m:d>
                              </m:oMath>
                            </m:oMathPara>
                          </w:p>
                        </w:txbxContent>
                      </wps:txbx>
                      <wps:bodyPr lIns="720" rIns="720" tIns="720" bIns="720" anchor="t">
                        <a:noAutofit/>
                      </wps:bodyPr>
                    </wps:wsp>
                  </a:graphicData>
                </a:graphic>
              </wp:anchor>
            </w:drawing>
          </mc:Choice>
          <mc:Fallback>
            <w:pict>
              <v:rect id="shape_0" ID="Врезка4" path="m0,0l-2147483645,0l-2147483645,-2147483646l0,-2147483646xe" fillcolor="white" stroked="f" o:allowincell="f" style="position:absolute;margin-left:296.2pt;margin-top:13.55pt;width:14.95pt;height:13.7pt;mso-wrap-style:square;v-text-anchor:top">
                <v:fill o:detectmouseclick="t" type="solid" color2="black" opacity="0"/>
                <v:stroke color="#3465a4" joinstyle="round" endcap="flat"/>
                <v:textbox>
                  <w:txbxContent>
                    <w:p>
                      <w:pPr>
                        <w:pStyle w:val="Normal"/>
                        <w:overflowPunct w:val="true"/>
                        <w:rPr>
                          <w:b w:val="false"/>
                          <w:b w:val="false"/>
                          <w:szCs w:val="20"/>
                        </w:rPr>
                      </w:pPr>
                      <w:r>
                        <w:rPr>
                          <w:b w:val="false"/>
                          <w:szCs w:val="20"/>
                        </w:rPr>
                        <w:t>(4)</w:t>
                      </w:r>
                    </w:p>
                  </w:txbxContent>
                </v:textbox>
                <w10:wrap type="none"/>
              </v:rect>
            </w:pict>
          </mc:Fallback>
        </mc:AlternateContent>
      </w:r>
    </w:p>
    <w:p>
      <w:pPr>
        <w:pStyle w:val="Style17"/>
        <w:jc w:val="center"/>
        <w:rPr/>
      </w:pPr>
      <w:r>
        <w:rPr/>
      </w:r>
    </w:p>
    <w:p>
      <w:pPr>
        <w:pStyle w:val="Style17"/>
        <w:rPr/>
      </w:pPr>
      <w:r>
        <w:rPr/>
        <w:t xml:space="preserve">Следующим этапом является дискретное преобразование Френеля, его формула представлена ниже. Данное преобразование позволяет приближать цифровую голограмму на расстояние </w:t>
      </w:r>
      <w:r>
        <w:rPr>
          <w:lang w:val="en-US"/>
        </w:rPr>
        <w:t>d</w:t>
      </w:r>
      <w:r>
        <w:rPr/>
        <w:t xml:space="preserve"> [1].</w:t>
      </w:r>
    </w:p>
    <w:p>
      <w:pPr>
        <w:pStyle w:val="Style17"/>
        <w:ind w:left="0" w:right="0" w:hanging="0"/>
        <w:jc w:val="left"/>
        <w:rPr/>
      </w:pPr>
      <w:r>
        <w:rPr/>
        <mc:AlternateContent>
          <mc:Choice Requires="wps">
            <w:drawing>
              <wp:anchor behindDoc="0" distT="0" distB="0" distL="0" distR="0" simplePos="0" locked="0" layoutInCell="0" allowOverlap="1" relativeHeight="2">
                <wp:simplePos x="0" y="0"/>
                <wp:positionH relativeFrom="column">
                  <wp:posOffset>3742055</wp:posOffset>
                </wp:positionH>
                <wp:positionV relativeFrom="paragraph">
                  <wp:posOffset>283845</wp:posOffset>
                </wp:positionV>
                <wp:extent cx="190500" cy="174625"/>
                <wp:effectExtent l="0" t="0" r="0" b="0"/>
                <wp:wrapNone/>
                <wp:docPr id="9" name="Врезка5"/>
                <a:graphic xmlns:a="http://schemas.openxmlformats.org/drawingml/2006/main">
                  <a:graphicData uri="http://schemas.microsoft.com/office/word/2010/wordprocessingShape">
                    <wps:wsp>
                      <wps:cNvSpPr/>
                      <wps:spPr>
                        <a:xfrm>
                          <a:off x="0" y="0"/>
                          <a:ext cx="190440" cy="174600"/>
                        </a:xfrm>
                        <a:prstGeom prst="rect">
                          <a:avLst/>
                        </a:prstGeom>
                        <a:noFill/>
                        <a:ln w="0">
                          <a:noFill/>
                        </a:ln>
                      </wps:spPr>
                      <wps:style>
                        <a:lnRef idx="0"/>
                        <a:fillRef idx="0"/>
                        <a:effectRef idx="0"/>
                        <a:fontRef idx="minor"/>
                      </wps:style>
                      <wps:txbx>
                        <w:txbxContent>
                          <w:p>
                            <w:pPr>
                              <w:pStyle w:val="Normal"/>
                              <w:overflowPunct w:val="true"/>
                              <w:rPr>
                                <w:b w:val="false"/>
                                <w:b w:val="false"/>
                                <w:szCs w:val="20"/>
                              </w:rPr>
                            </w:pPr>
                            <w:r>
                              <w:rPr>
                                <w:b w:val="false"/>
                                <w:szCs w:val="20"/>
                              </w:rPr>
                              <w:t>(5)</w:t>
                            </w:r>
                            <m:oMathPara xmlns:m="http://schemas.openxmlformats.org/officeDocument/2006/math">
                              <m:oMathParaPr>
                                <m:jc m:val="left"/>
                              </m:oMathParaPr>
                              <m:oMath>
                                <m:eqArr>
                                  <m:e>
                                    <m:r>
                                      <w:rPr>
                                        <w:rFonts w:ascii="Cambria Math" w:hAnsi="Cambria Math"/>
                                      </w:rPr>
                                      <m:t xml:space="preserve">Г</m:t>
                                    </m:r>
                                    <m:d>
                                      <m:dPr>
                                        <m:begChr m:val="("/>
                                        <m:endChr m:val=")"/>
                                      </m:dPr>
                                      <m:e>
                                        <m:r>
                                          <w:rPr>
                                            <w:rFonts w:ascii="Cambria Math" w:hAnsi="Cambria Math"/>
                                          </w:rPr>
                                          <m:t xml:space="preserve">r</m:t>
                                        </m:r>
                                        <m:r>
                                          <w:rPr>
                                            <w:rFonts w:ascii="Cambria Math" w:hAnsi="Cambria Math"/>
                                          </w:rPr>
                                          <m:t xml:space="preserve">,</m:t>
                                        </m:r>
                                        <m:r>
                                          <w:rPr>
                                            <w:rFonts w:ascii="Cambria Math" w:hAnsi="Cambria Math"/>
                                          </w:rPr>
                                          <m:t xml:space="preserve">s</m:t>
                                        </m:r>
                                      </m:e>
                                    </m:d>
                                    <m:r>
                                      <w:rPr>
                                        <w:rFonts w:ascii="Cambria Math" w:hAnsi="Cambria Math"/>
                                      </w:rPr>
                                      <m:t xml:space="preserve">=</m:t>
                                    </m:r>
                                    <m:r>
                                      <w:rPr>
                                        <w:rFonts w:ascii="Cambria Math" w:hAnsi="Cambria Math"/>
                                      </w:rPr>
                                      <m:t xml:space="preserve">−</m:t>
                                    </m:r>
                                    <m:r>
                                      <w:rPr>
                                        <w:rFonts w:ascii="Cambria Math" w:hAnsi="Cambria Math"/>
                                      </w:rPr>
                                      <m:t xml:space="preserve">exp</m:t>
                                    </m:r>
                                    <m:r>
                                      <w:rPr>
                                        <w:rFonts w:ascii="Cambria Math" w:hAnsi="Cambria Math"/>
                                      </w:rPr>
                                      <m:t xml:space="preserve">{</m:t>
                                    </m:r>
                                    <m:r>
                                      <w:rPr>
                                        <w:rFonts w:ascii="Cambria Math" w:hAnsi="Cambria Math"/>
                                      </w:rPr>
                                      <m:t xml:space="preserve">i</m:t>
                                    </m:r>
                                    <m:f>
                                      <m:num>
                                        <m:r>
                                          <w:rPr>
                                            <w:rFonts w:ascii="Cambria Math" w:hAnsi="Cambria Math"/>
                                          </w:rPr>
                                          <m:t xml:space="preserve">π</m:t>
                                        </m:r>
                                      </m:num>
                                      <m:den>
                                        <m:r>
                                          <w:rPr>
                                            <w:rFonts w:ascii="Cambria Math" w:hAnsi="Cambria Math"/>
                                          </w:rPr>
                                          <m:t xml:space="preserve">λ</m:t>
                                        </m:r>
                                        <m:r>
                                          <w:rPr>
                                            <w:rFonts w:ascii="Cambria Math" w:hAnsi="Cambria Math"/>
                                          </w:rPr>
                                          <m:t xml:space="preserve">d</m:t>
                                        </m:r>
                                      </m:den>
                                    </m:f>
                                    <m:d>
                                      <m:dPr>
                                        <m:begChr m:val="["/>
                                        <m:endChr m:val="]"/>
                                      </m:dPr>
                                      <m:e>
                                        <m:sSup>
                                          <m:e>
                                            <m:d>
                                              <m:dPr>
                                                <m:begChr m:val="("/>
                                                <m:endChr m:val=")"/>
                                              </m:dPr>
                                              <m:e>
                                                <m:r>
                                                  <w:rPr>
                                                    <w:rFonts w:ascii="Cambria Math" w:hAnsi="Cambria Math"/>
                                                  </w:rPr>
                                                  <m:t xml:space="preserve">Δ</m:t>
                                                </m:r>
                                                <m:r>
                                                  <w:rPr>
                                                    <w:rFonts w:ascii="Cambria Math" w:hAnsi="Cambria Math"/>
                                                  </w:rPr>
                                                  <m:t xml:space="preserve">ξ</m:t>
                                                </m:r>
                                                <m:d>
                                                  <m:dPr>
                                                    <m:begChr m:val="("/>
                                                    <m:endChr m:val=")"/>
                                                  </m:dPr>
                                                  <m:e>
                                                    <m:r>
                                                      <w:rPr>
                                                        <w:rFonts w:ascii="Cambria Math" w:hAnsi="Cambria Math"/>
                                                      </w:rPr>
                                                      <m:t xml:space="preserve">r</m:t>
                                                    </m:r>
                                                    <m:r>
                                                      <w:rPr>
                                                        <w:rFonts w:ascii="Cambria Math" w:hAnsi="Cambria Math"/>
                                                      </w:rPr>
                                                      <m:t xml:space="preserve">−</m:t>
                                                    </m:r>
                                                    <m:f>
                                                      <m:num>
                                                        <m:sSub>
                                                          <m:e>
                                                            <m:r>
                                                              <w:rPr>
                                                                <w:rFonts w:ascii="Cambria Math" w:hAnsi="Cambria Math"/>
                                                              </w:rPr>
                                                              <m:t xml:space="preserve">N</m:t>
                                                            </m:r>
                                                          </m:e>
                                                          <m:sub>
                                                            <m:r>
                                                              <w:rPr>
                                                                <w:rFonts w:ascii="Cambria Math" w:hAnsi="Cambria Math"/>
                                                              </w:rPr>
                                                              <m:t xml:space="preserve">x</m:t>
                                                            </m:r>
                                                          </m:sub>
                                                        </m:sSub>
                                                      </m:num>
                                                      <m:den>
                                                        <m:r>
                                                          <w:rPr>
                                                            <w:rFonts w:ascii="Cambria Math" w:hAnsi="Cambria Math"/>
                                                          </w:rPr>
                                                          <m:t xml:space="preserve">2</m:t>
                                                        </m:r>
                                                      </m:den>
                                                    </m:f>
                                                  </m:e>
                                                </m:d>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Δ</m:t>
                                                </m:r>
                                                <m:r>
                                                  <w:rPr>
                                                    <w:rFonts w:ascii="Cambria Math" w:hAnsi="Cambria Math"/>
                                                  </w:rPr>
                                                  <m:t xml:space="preserve">η</m:t>
                                                </m:r>
                                                <m:d>
                                                  <m:dPr>
                                                    <m:begChr m:val="("/>
                                                    <m:endChr m:val=")"/>
                                                  </m:dPr>
                                                  <m:e>
                                                    <m:r>
                                                      <w:rPr>
                                                        <w:rFonts w:ascii="Cambria Math" w:hAnsi="Cambria Math"/>
                                                      </w:rPr>
                                                      <m:t xml:space="preserve">s</m:t>
                                                    </m:r>
                                                    <m:r>
                                                      <w:rPr>
                                                        <w:rFonts w:ascii="Cambria Math" w:hAnsi="Cambria Math"/>
                                                      </w:rPr>
                                                      <m:t xml:space="preserve">−</m:t>
                                                    </m:r>
                                                    <m:f>
                                                      <m:num>
                                                        <m:sSub>
                                                          <m:e>
                                                            <m:r>
                                                              <w:rPr>
                                                                <w:rFonts w:ascii="Cambria Math" w:hAnsi="Cambria Math"/>
                                                              </w:rPr>
                                                              <m:t xml:space="preserve">N</m:t>
                                                            </m:r>
                                                          </m:e>
                                                          <m:sub>
                                                            <m:r>
                                                              <w:rPr>
                                                                <w:rFonts w:ascii="Cambria Math" w:hAnsi="Cambria Math"/>
                                                              </w:rPr>
                                                              <m:t xml:space="preserve">y</m:t>
                                                            </m:r>
                                                          </m:sub>
                                                        </m:sSub>
                                                      </m:num>
                                                      <m:den>
                                                        <m:r>
                                                          <w:rPr>
                                                            <w:rFonts w:ascii="Cambria Math" w:hAnsi="Cambria Math"/>
                                                          </w:rPr>
                                                          <m:t xml:space="preserve">2</m:t>
                                                        </m:r>
                                                      </m:den>
                                                    </m:f>
                                                  </m:e>
                                                </m:d>
                                              </m:e>
                                            </m:d>
                                          </m:e>
                                          <m:sup>
                                            <m:r>
                                              <w:rPr>
                                                <w:rFonts w:ascii="Cambria Math" w:hAnsi="Cambria Math"/>
                                              </w:rPr>
                                              <m:t xml:space="preserve">2</m:t>
                                            </m:r>
                                          </m:sup>
                                        </m:sSup>
                                      </m:e>
                                    </m:d>
                                    <m:r>
                                      <w:rPr>
                                        <w:rFonts w:ascii="Cambria Math" w:hAnsi="Cambria Math"/>
                                      </w:rPr>
                                      <m:t xml:space="preserve">}</m:t>
                                    </m:r>
                                    <m:r>
                                      <w:rPr>
                                        <w:rFonts w:ascii="Cambria Math" w:hAnsi="Cambria Math"/>
                                      </w:rPr>
                                      <m:t xml:space="preserve">∗</m:t>
                                    </m:r>
                                  </m:e>
                                  <m:e>
                                    <m:r>
                                      <w:rPr>
                                        <w:rFonts w:ascii="Cambria Math" w:hAnsi="Cambria Math"/>
                                      </w:rPr>
                                      <m:t xml:space="preserve">∗</m:t>
                                    </m:r>
                                    <m:r>
                                      <w:rPr>
                                        <w:rFonts w:ascii="Cambria Math" w:hAnsi="Cambria Math"/>
                                      </w:rPr>
                                      <m:t xml:space="preserve">ℑ</m:t>
                                    </m:r>
                                    <m:d>
                                      <m:dPr>
                                        <m:begChr m:val="("/>
                                        <m:endChr m:val=")"/>
                                      </m:dPr>
                                      <m:e>
                                        <m:sSub>
                                          <m:e>
                                            <m:r>
                                              <w:rPr>
                                                <w:rFonts w:ascii="Cambria Math" w:hAnsi="Cambria Math"/>
                                              </w:rPr>
                                              <m:t xml:space="preserve">b</m:t>
                                            </m:r>
                                          </m:e>
                                          <m:sub>
                                            <m:r>
                                              <w:rPr>
                                                <w:rFonts w:ascii="Cambria Math" w:hAnsi="Cambria Math"/>
                                              </w:rPr>
                                              <m:t xml:space="preserve">1</m:t>
                                            </m:r>
                                          </m:sub>
                                        </m:sSub>
                                        <m:d>
                                          <m:dPr>
                                            <m:begChr m:val="("/>
                                            <m:endChr m:val=")"/>
                                          </m:dPr>
                                          <m:e>
                                            <m:r>
                                              <w:rPr>
                                                <w:rFonts w:ascii="Cambria Math" w:hAnsi="Cambria Math"/>
                                              </w:rPr>
                                              <m:t xml:space="preserve">k</m:t>
                                            </m:r>
                                            <m:r>
                                              <w:rPr>
                                                <w:rFonts w:ascii="Cambria Math" w:hAnsi="Cambria Math"/>
                                              </w:rPr>
                                              <m:t xml:space="preserve">,</m:t>
                                            </m:r>
                                            <m:r>
                                              <w:rPr>
                                                <w:rFonts w:ascii="Cambria Math" w:hAnsi="Cambria Math"/>
                                              </w:rPr>
                                              <m:t xml:space="preserve">l</m:t>
                                            </m:r>
                                          </m:e>
                                        </m:d>
                                        <m:r>
                                          <w:rPr>
                                            <w:rFonts w:ascii="Cambria Math" w:hAnsi="Cambria Math"/>
                                          </w:rPr>
                                          <m:t xml:space="preserve">exp</m:t>
                                        </m:r>
                                        <m:r>
                                          <w:rPr>
                                            <w:rFonts w:ascii="Cambria Math" w:hAnsi="Cambria Math"/>
                                          </w:rPr>
                                          <m:t xml:space="preserve">{</m:t>
                                        </m:r>
                                        <m:r>
                                          <w:rPr>
                                            <w:rFonts w:ascii="Cambria Math" w:hAnsi="Cambria Math"/>
                                          </w:rPr>
                                          <m:t xml:space="preserve">i</m:t>
                                        </m:r>
                                        <m:f>
                                          <m:num>
                                            <m:r>
                                              <w:rPr>
                                                <w:rFonts w:ascii="Cambria Math" w:hAnsi="Cambria Math"/>
                                              </w:rPr>
                                              <m:t xml:space="preserve">π</m:t>
                                            </m:r>
                                          </m:num>
                                          <m:den>
                                            <m:r>
                                              <w:rPr>
                                                <w:rFonts w:ascii="Cambria Math" w:hAnsi="Cambria Math"/>
                                              </w:rPr>
                                              <m:t xml:space="preserve">λ</m:t>
                                            </m:r>
                                            <m:r>
                                              <w:rPr>
                                                <w:rFonts w:ascii="Cambria Math" w:hAnsi="Cambria Math"/>
                                              </w:rPr>
                                              <m:t xml:space="preserve">d</m:t>
                                            </m:r>
                                          </m:den>
                                        </m:f>
                                        <m:d>
                                          <m:dPr>
                                            <m:begChr m:val="["/>
                                            <m:endChr m:val="]"/>
                                          </m:dPr>
                                          <m:e>
                                            <m:sSup>
                                              <m:e>
                                                <m:d>
                                                  <m:dPr>
                                                    <m:begChr m:val="("/>
                                                    <m:endChr m:val=")"/>
                                                  </m:dPr>
                                                  <m:e>
                                                    <m:r>
                                                      <w:rPr>
                                                        <w:rFonts w:ascii="Cambria Math" w:hAnsi="Cambria Math"/>
                                                      </w:rPr>
                                                      <m:t xml:space="preserve">Δ</m:t>
                                                    </m:r>
                                                    <m:r>
                                                      <w:rPr>
                                                        <w:rFonts w:ascii="Cambria Math" w:hAnsi="Cambria Math"/>
                                                      </w:rPr>
                                                      <m:t xml:space="preserve">ξ</m:t>
                                                    </m:r>
                                                    <m:d>
                                                      <m:dPr>
                                                        <m:begChr m:val="("/>
                                                        <m:endChr m:val=")"/>
                                                      </m:dPr>
                                                      <m:e>
                                                        <m:r>
                                                          <w:rPr>
                                                            <w:rFonts w:ascii="Cambria Math" w:hAnsi="Cambria Math"/>
                                                          </w:rPr>
                                                          <m:t xml:space="preserve">k</m:t>
                                                        </m:r>
                                                        <m:r>
                                                          <w:rPr>
                                                            <w:rFonts w:ascii="Cambria Math" w:hAnsi="Cambria Math"/>
                                                          </w:rPr>
                                                          <m:t xml:space="preserve">−</m:t>
                                                        </m:r>
                                                        <m:f>
                                                          <m:num>
                                                            <m:sSub>
                                                              <m:e>
                                                                <m:r>
                                                                  <w:rPr>
                                                                    <w:rFonts w:ascii="Cambria Math" w:hAnsi="Cambria Math"/>
                                                                  </w:rPr>
                                                                  <m:t xml:space="preserve">N</m:t>
                                                                </m:r>
                                                              </m:e>
                                                              <m:sub>
                                                                <m:r>
                                                                  <w:rPr>
                                                                    <w:rFonts w:ascii="Cambria Math" w:hAnsi="Cambria Math"/>
                                                                  </w:rPr>
                                                                  <m:t xml:space="preserve">x</m:t>
                                                                </m:r>
                                                              </m:sub>
                                                            </m:sSub>
                                                          </m:num>
                                                          <m:den>
                                                            <m:r>
                                                              <w:rPr>
                                                                <w:rFonts w:ascii="Cambria Math" w:hAnsi="Cambria Math"/>
                                                              </w:rPr>
                                                              <m:t xml:space="preserve">2</m:t>
                                                            </m:r>
                                                          </m:den>
                                                        </m:f>
                                                      </m:e>
                                                    </m:d>
                                                  </m:e>
                                                </m:d>
                                              </m:e>
                                              <m:sup>
                                                <m:r>
                                                  <w:rPr>
                                                    <w:rFonts w:ascii="Cambria Math" w:hAnsi="Cambria Math"/>
                                                  </w:rPr>
                                                  <m:t xml:space="preserve">2</m:t>
                                                </m:r>
                                              </m:sup>
                                            </m:sSup>
                                            <m:r>
                                              <w:rPr>
                                                <w:rFonts w:ascii="Cambria Math" w:hAnsi="Cambria Math"/>
                                              </w:rPr>
                                              <m:t xml:space="preserve">+</m:t>
                                            </m:r>
                                            <m:sSup>
                                              <m:e>
                                                <m:d>
                                                  <m:dPr>
                                                    <m:begChr m:val="("/>
                                                    <m:endChr m:val=")"/>
                                                  </m:dPr>
                                                  <m:e>
                                                    <m:r>
                                                      <w:rPr>
                                                        <w:rFonts w:ascii="Cambria Math" w:hAnsi="Cambria Math"/>
                                                      </w:rPr>
                                                      <m:t xml:space="preserve">Δ</m:t>
                                                    </m:r>
                                                    <m:r>
                                                      <w:rPr>
                                                        <w:rFonts w:ascii="Cambria Math" w:hAnsi="Cambria Math"/>
                                                      </w:rPr>
                                                      <m:t xml:space="preserve">η</m:t>
                                                    </m:r>
                                                    <m:d>
                                                      <m:dPr>
                                                        <m:begChr m:val="("/>
                                                        <m:endChr m:val=")"/>
                                                      </m:dPr>
                                                      <m:e>
                                                        <m:r>
                                                          <w:rPr>
                                                            <w:rFonts w:ascii="Cambria Math" w:hAnsi="Cambria Math"/>
                                                          </w:rPr>
                                                          <m:t xml:space="preserve">l</m:t>
                                                        </m:r>
                                                        <m:r>
                                                          <w:rPr>
                                                            <w:rFonts w:ascii="Cambria Math" w:hAnsi="Cambria Math"/>
                                                          </w:rPr>
                                                          <m:t xml:space="preserve">−</m:t>
                                                        </m:r>
                                                        <m:f>
                                                          <m:num>
                                                            <m:sSub>
                                                              <m:e>
                                                                <m:r>
                                                                  <w:rPr>
                                                                    <w:rFonts w:ascii="Cambria Math" w:hAnsi="Cambria Math"/>
                                                                  </w:rPr>
                                                                  <m:t xml:space="preserve">N</m:t>
                                                                </m:r>
                                                              </m:e>
                                                              <m:sub>
                                                                <m:r>
                                                                  <w:rPr>
                                                                    <w:rFonts w:ascii="Cambria Math" w:hAnsi="Cambria Math"/>
                                                                  </w:rPr>
                                                                  <m:t xml:space="preserve">y</m:t>
                                                                </m:r>
                                                              </m:sub>
                                                            </m:sSub>
                                                          </m:num>
                                                          <m:den>
                                                            <m:r>
                                                              <w:rPr>
                                                                <w:rFonts w:ascii="Cambria Math" w:hAnsi="Cambria Math"/>
                                                              </w:rPr>
                                                              <m:t xml:space="preserve">2</m:t>
                                                            </m:r>
                                                          </m:den>
                                                        </m:f>
                                                      </m:e>
                                                    </m:d>
                                                  </m:e>
                                                </m:d>
                                              </m:e>
                                              <m:sup>
                                                <m:r>
                                                  <w:rPr>
                                                    <w:rFonts w:ascii="Cambria Math" w:hAnsi="Cambria Math"/>
                                                  </w:rPr>
                                                  <m:t xml:space="preserve">2</m:t>
                                                </m:r>
                                              </m:sup>
                                            </m:sSup>
                                          </m:e>
                                        </m:d>
                                        <m:r>
                                          <w:rPr>
                                            <w:rFonts w:ascii="Cambria Math" w:hAnsi="Cambria Math"/>
                                          </w:rPr>
                                          <m:t xml:space="preserve">}</m:t>
                                        </m:r>
                                        <m:r>
                                          <w:rPr>
                                            <w:rFonts w:ascii="Cambria Math" w:hAnsi="Cambria Math"/>
                                          </w:rPr>
                                          <m:t xml:space="preserve">}</m:t>
                                        </m:r>
                                      </m:e>
                                    </m:d>
                                  </m:e>
                                </m:eqArr>
                              </m:oMath>
                            </m:oMathPara>
                          </w:p>
                        </w:txbxContent>
                      </wps:txbx>
                      <wps:bodyPr lIns="720" rIns="720" tIns="720" bIns="720" anchor="t">
                        <a:noAutofit/>
                      </wps:bodyPr>
                    </wps:wsp>
                  </a:graphicData>
                </a:graphic>
              </wp:anchor>
            </w:drawing>
          </mc:Choice>
          <mc:Fallback>
            <w:pict>
              <v:rect id="shape_0" ID="Врезка5" path="m0,0l-2147483645,0l-2147483645,-2147483646l0,-2147483646xe" fillcolor="white" stroked="f" o:allowincell="f" style="position:absolute;margin-left:294.65pt;margin-top:22.35pt;width:14.95pt;height:13.7pt;mso-wrap-style:square;v-text-anchor:top">
                <v:fill o:detectmouseclick="t" type="solid" color2="black" opacity="0"/>
                <v:stroke color="#3465a4" joinstyle="round" endcap="flat"/>
                <v:textbox>
                  <w:txbxContent>
                    <w:p>
                      <w:pPr>
                        <w:pStyle w:val="Normal"/>
                        <w:overflowPunct w:val="true"/>
                        <w:rPr>
                          <w:b w:val="false"/>
                          <w:b w:val="false"/>
                          <w:szCs w:val="20"/>
                        </w:rPr>
                      </w:pPr>
                      <w:r>
                        <w:rPr>
                          <w:b w:val="false"/>
                          <w:szCs w:val="20"/>
                        </w:rPr>
                        <w:t>(5)</w:t>
                      </w:r>
                    </w:p>
                  </w:txbxContent>
                </v:textbox>
                <w10:wrap type="none"/>
              </v:rect>
            </w:pict>
          </mc:Fallback>
        </mc:AlternateContent>
      </w:r>
    </w:p>
    <w:p>
      <w:pPr>
        <w:pStyle w:val="Style17"/>
        <w:ind w:left="0" w:right="0" w:hanging="0"/>
        <w:jc w:val="left"/>
        <w:rPr/>
      </w:pPr>
      <w:r>
        <w:rPr/>
      </w:r>
    </w:p>
    <w:p>
      <w:pPr>
        <w:pStyle w:val="Style17"/>
        <w:rPr>
          <w:bCs/>
        </w:rPr>
      </w:pPr>
      <w:r>
        <w:rPr>
          <w:b/>
          <w:bCs/>
        </w:rPr>
        <w:t xml:space="preserve">Реализация программного модуля. </w:t>
      </w:r>
      <w:r>
        <w:rPr>
          <w:b w:val="false"/>
          <w:bCs w:val="false"/>
        </w:rPr>
        <w:t>Так как</w:t>
      </w:r>
      <w:r>
        <w:rPr>
          <w:b w:val="false"/>
          <w:bCs w:val="false"/>
        </w:rPr>
        <w:t xml:space="preserve"> </w:t>
      </w:r>
      <w:r>
        <w:rPr>
          <w:b w:val="false"/>
          <w:bCs w:val="false"/>
        </w:rPr>
        <w:t>картины интенсивности представлены в виде изображений, то в раз</w:t>
      </w:r>
      <w:r>
        <w:rPr>
          <w:b w:val="false"/>
          <w:bCs w:val="false"/>
        </w:rPr>
        <w:t xml:space="preserve">рабатываемом приложении используется </w:t>
      </w:r>
      <w:r>
        <w:rPr>
          <w:b w:val="false"/>
          <w:bCs w:val="false"/>
        </w:rPr>
        <w:t>технология</w:t>
      </w:r>
      <w:r>
        <w:rPr>
          <w:b w:val="false"/>
          <w:bCs w:val="false"/>
        </w:rPr>
        <w:t xml:space="preserve"> </w:t>
      </w:r>
      <w:r>
        <w:rPr>
          <w:b w:val="false"/>
          <w:bCs w:val="false"/>
        </w:rPr>
        <w:t>у</w:t>
      </w:r>
      <w:r>
        <w:rPr/>
        <w:t>ниверсальны</w:t>
      </w:r>
      <w:r>
        <w:rPr/>
        <w:t>х</w:t>
      </w:r>
      <w:r>
        <w:rPr/>
        <w:t xml:space="preserve"> вычислени</w:t>
      </w:r>
      <w:r>
        <w:rPr/>
        <w:t>й</w:t>
      </w:r>
      <w:r>
        <w:rPr/>
        <w:t xml:space="preserve"> на графических процессорах (</w:t>
      </w:r>
      <w:r>
        <w:rPr>
          <w:lang w:val="en-US"/>
        </w:rPr>
        <w:t>GPGPU</w:t>
      </w:r>
      <w:r>
        <w:rPr/>
        <w:t>) — это использование графического процессора (</w:t>
      </w:r>
      <w:r>
        <w:rPr>
          <w:lang w:val="en-US"/>
        </w:rPr>
        <w:t>GPU</w:t>
      </w:r>
      <w:r>
        <w:rPr/>
        <w:t xml:space="preserve">), для выполнения вычислений в приложениях, которые традиционно обрабатываются центральный процессор (CPU). </w:t>
      </w:r>
      <w:r>
        <w:rPr/>
        <w:t xml:space="preserve">Основным преимуществом данной технологии является </w:t>
      </w:r>
      <w:r>
        <w:rPr/>
        <w:t xml:space="preserve">архитектура </w:t>
      </w:r>
      <w:r>
        <w:rPr/>
        <w:t>графического процессора</w:t>
      </w:r>
      <w:r>
        <w:rPr/>
        <w:t>, нацеленная  на увеличение производительности вычислений за счет большего параллелизма выполнения инструкций.</w:t>
      </w:r>
      <w:r>
        <w:rPr/>
        <w:t xml:space="preserve"> </w:t>
      </w:r>
      <w:r>
        <w:rPr/>
        <w:t>Поэтому при выполнении математических операций метода пошагового фазового сдвига</w:t>
      </w:r>
      <w:r>
        <w:rPr>
          <w:lang w:val="en-US"/>
        </w:rPr>
        <w:t xml:space="preserve"> (PSI)</w:t>
      </w:r>
      <w:r>
        <w:rPr>
          <w:lang w:val="ru-RU"/>
        </w:rPr>
        <w:t xml:space="preserve"> и преобразования Френеля </w:t>
      </w:r>
      <w:r>
        <w:rPr/>
        <w:t>в графическом процессоре удается значительно повысить скорость</w:t>
      </w:r>
      <w:r>
        <w:rPr>
          <w:b/>
          <w:bCs/>
        </w:rPr>
        <w:t xml:space="preserve"> </w:t>
      </w:r>
      <w:r>
        <w:rPr>
          <w:b w:val="false"/>
          <w:bCs w:val="false"/>
        </w:rPr>
        <w:t>декодирования цифровых голограмм.</w:t>
      </w:r>
    </w:p>
    <w:p>
      <w:pPr>
        <w:pStyle w:val="Style17"/>
        <w:rPr/>
      </w:pPr>
      <w:r>
        <w:rPr/>
        <w:t xml:space="preserve">Основным языком программирования выбран </w:t>
      </w:r>
      <w:r>
        <w:rPr>
          <w:lang w:val="en-US"/>
        </w:rPr>
        <w:t xml:space="preserve">C++. </w:t>
      </w:r>
      <w:r>
        <w:rPr/>
        <w:t xml:space="preserve">В качестве графического процесса декодирования цифровых голограмм используется видеокарта Nvidia GeForce GTX 1070. Для управления графическим процессором используется </w:t>
      </w:r>
      <w:r>
        <w:rPr/>
        <w:t xml:space="preserve">графическая </w:t>
      </w:r>
      <w:r>
        <w:rPr/>
        <w:t xml:space="preserve">библиотека </w:t>
      </w:r>
      <w:r>
        <w:rPr>
          <w:lang w:val="en-US"/>
        </w:rPr>
        <w:t>OpenGL</w:t>
      </w:r>
      <w:r>
        <w:rPr/>
        <w:t>. Основным достоинством этой библиотеки является простой программный интерфейс взаимодействия (</w:t>
      </w:r>
      <w:r>
        <w:rPr>
          <w:lang w:val="en-US"/>
        </w:rPr>
        <w:t>API</w:t>
      </w:r>
      <w:r>
        <w:rPr/>
        <w:t xml:space="preserve">) и поддержка большого числа графических процессоров и операционных систем. Графическая библиотека </w:t>
      </w:r>
      <w:r>
        <w:rPr>
          <w:lang w:val="en-US"/>
        </w:rPr>
        <w:t>OpenGL</w:t>
      </w:r>
      <w:r>
        <w:rPr/>
        <w:t xml:space="preserve"> позволяет реализовывать </w:t>
      </w:r>
      <w:r>
        <w:rPr/>
        <w:t>программы для фрагментарного и</w:t>
      </w:r>
      <w:r>
        <w:rPr/>
        <w:t xml:space="preserve"> вычислительн</w:t>
      </w:r>
      <w:r>
        <w:rPr/>
        <w:t>ого</w:t>
      </w:r>
      <w:r>
        <w:rPr/>
        <w:t xml:space="preserve"> шейдер</w:t>
      </w:r>
      <w:r>
        <w:rPr/>
        <w:t>ов</w:t>
      </w:r>
      <w:r>
        <w:rPr/>
        <w:t xml:space="preserve">. </w:t>
      </w:r>
      <w:r>
        <w:rPr/>
        <w:t xml:space="preserve">Последний </w:t>
      </w:r>
      <w:r>
        <w:rPr/>
        <w:t>никак не участвует в процессе графического конвейера и</w:t>
      </w:r>
      <w:r>
        <w:rPr/>
        <w:t xml:space="preserve"> реализует технологию </w:t>
      </w:r>
      <w:r>
        <w:rPr>
          <w:lang w:val="en-US"/>
        </w:rPr>
        <w:t>GPGPU</w:t>
      </w:r>
      <w:r>
        <w:rPr/>
        <w:t xml:space="preserve"> и используется для вычисления произвольной информации.</w:t>
      </w:r>
    </w:p>
    <w:p>
      <w:pPr>
        <w:pStyle w:val="Style17"/>
        <w:rPr/>
      </w:pPr>
      <w:r>
        <w:rPr/>
        <w:t>Вычислительный шейдер выполняется над рабочим пространством или вычислительным пространством (</w:t>
      </w:r>
      <w:r>
        <w:rPr>
          <w:lang w:val="en-US"/>
        </w:rPr>
        <w:t>compute</w:t>
      </w:r>
      <w:r>
        <w:rPr/>
        <w:t xml:space="preserve"> </w:t>
      </w:r>
      <w:r>
        <w:rPr>
          <w:lang w:val="en-US"/>
        </w:rPr>
        <w:t>space</w:t>
      </w:r>
      <w:r>
        <w:rPr/>
        <w:t>). Под этим термином понимается область памяти, с которой работает программа вычислительного шейдера. В данной работе под рабочее пространство составляет изображения, полученные на первом этапе, и целевое изображение, в которое записывается результат второго этапа. Рабочее пространство обрабатывается при помощи рабочих групп (</w:t>
      </w:r>
      <w:r>
        <w:rPr>
          <w:i/>
        </w:rPr>
        <w:t xml:space="preserve">work group) </w:t>
      </w:r>
      <w:r>
        <w:rPr/>
        <w:t xml:space="preserve">– наименьшее количество вычислительный операции, которые может выполнять пользователь [3]. Каждая рабочая группа состоит из нитей (поток в терминах </w:t>
      </w:r>
      <w:r>
        <w:rPr>
          <w:lang w:val="en-US"/>
        </w:rPr>
        <w:t>OpenGL</w:t>
      </w:r>
      <w:r>
        <w:rPr/>
        <w:t>), которые и производит сами вычисления, параллельно с остальными нитями одной и той же группы.</w:t>
      </w:r>
    </w:p>
    <w:p>
      <w:pPr>
        <w:pStyle w:val="Style17"/>
        <w:rPr/>
      </w:pPr>
      <w:r>
        <w:rPr>
          <w:b/>
          <w:bCs/>
        </w:rPr>
        <w:t>Первый этап</w:t>
      </w:r>
      <w:r>
        <w:rPr/>
        <w:t xml:space="preserve"> декодирования цифровых голограмм, описанный в предыдущем пункте, реализуется за счет фрагментарного шейдера. В память графического процессора записываются 4 изображения, полученные на этапе регистрации картин интенсивности.</w:t>
      </w:r>
    </w:p>
    <w:p>
      <w:pPr>
        <w:pStyle w:val="Style17"/>
        <w:rPr/>
      </w:pPr>
      <w:r>
        <w:rPr/>
        <w:t xml:space="preserve">Затем эти изображения преобразуются по алгоритму </w:t>
      </w:r>
      <w:r>
        <w:rPr>
          <w:lang w:val="en-US"/>
        </w:rPr>
        <w:t>PSI</w:t>
      </w:r>
      <w:r>
        <w:rPr>
          <w:lang w:val="ru-RU"/>
        </w:rPr>
        <w:t xml:space="preserve"> </w:t>
      </w:r>
      <w:r>
        <w:rPr>
          <w:lang w:val="ru-RU"/>
        </w:rPr>
        <w:t>(формула 1)</w:t>
      </w:r>
      <w:r>
        <w:rPr>
          <w:lang w:val="ru-RU"/>
        </w:rPr>
        <w:t xml:space="preserve"> </w:t>
      </w:r>
      <w:r>
        <w:rPr>
          <w:lang w:val="ru-RU"/>
        </w:rPr>
        <w:t>в</w:t>
      </w:r>
      <w:r>
        <w:rPr/>
        <w:t xml:space="preserve"> амплитудную и фазовую составляющие, которые записываются в отдельные текстурные объекты в памяти графического процессора. </w:t>
        <w:tab/>
      </w:r>
    </w:p>
    <w:p>
      <w:pPr>
        <w:pStyle w:val="Style17"/>
        <w:rPr/>
      </w:pPr>
      <w:r>
        <w:rPr>
          <w:b/>
          <w:bCs/>
        </w:rPr>
        <w:t>Вторым</w:t>
      </w:r>
      <w:r>
        <w:rPr>
          <w:b/>
          <w:bCs/>
        </w:rPr>
        <w:t xml:space="preserve"> этапом</w:t>
      </w:r>
      <w:r>
        <w:rPr/>
        <w:t xml:space="preserve"> является преобразование Френеля. В основе данного преобразования лежит обычное двумерное быстрое преобразование Фурье и</w:t>
      </w:r>
      <w:r>
        <w:rPr/>
        <w:t>ли</w:t>
      </w:r>
      <w:r>
        <w:rPr/>
        <w:t xml:space="preserve"> двумерное БПФ для четного количества точек. Выбор того или иного БПФ зависит от размеров изображений, полученных на первом этапе. Если ширина или высота не являются степенями 2, то будет использоваться двумерное БПФ для четного количества точек. Его реализация происходит в вычислительном шейдере </w:t>
      </w:r>
      <w:r>
        <w:rPr>
          <w:i/>
          <w:iCs/>
        </w:rPr>
        <w:t>(</w:t>
      </w:r>
      <w:r>
        <w:rPr>
          <w:i/>
          <w:iCs/>
          <w:lang w:val="en-US"/>
        </w:rPr>
        <w:t>compute</w:t>
      </w:r>
      <w:r>
        <w:rPr>
          <w:i/>
          <w:iCs/>
        </w:rPr>
        <w:t xml:space="preserve"> </w:t>
      </w:r>
      <w:r>
        <w:rPr>
          <w:i/>
          <w:iCs/>
          <w:lang w:val="en-US"/>
        </w:rPr>
        <w:t>shader</w:t>
      </w:r>
      <w:r>
        <w:rPr>
          <w:i/>
          <w:iCs/>
        </w:rPr>
        <w:t xml:space="preserve">). </w:t>
      </w:r>
      <w:r>
        <w:rPr/>
        <w:t xml:space="preserve">Согласно формуле 5 </w:t>
      </w:r>
      <w:r>
        <w:rPr/>
        <w:t xml:space="preserve">данный этап можно разделить на три шага. </w:t>
      </w:r>
    </w:p>
    <w:p>
      <w:pPr>
        <w:pStyle w:val="Style17"/>
        <w:numPr>
          <w:ilvl w:val="0"/>
          <w:numId w:val="3"/>
        </w:numPr>
        <w:rPr/>
      </w:pPr>
      <w:r>
        <w:rPr/>
        <w:t>У</w:t>
      </w:r>
      <w:r>
        <w:rPr/>
        <w:t>множение на экспоненту;</w:t>
      </w:r>
    </w:p>
    <w:p>
      <w:pPr>
        <w:pStyle w:val="Style17"/>
        <w:numPr>
          <w:ilvl w:val="0"/>
          <w:numId w:val="3"/>
        </w:numPr>
        <w:rPr/>
      </w:pPr>
      <w:r>
        <w:rPr/>
        <w:t>О</w:t>
      </w:r>
      <w:r>
        <w:rPr/>
        <w:t xml:space="preserve">бычное двумерное БПФ или </w:t>
      </w:r>
      <w:r>
        <w:rPr/>
        <w:t>двумерное</w:t>
      </w:r>
      <w:r>
        <w:rPr/>
        <w:t xml:space="preserve"> БПФ с четным количеством точек;</w:t>
      </w:r>
    </w:p>
    <w:p>
      <w:pPr>
        <w:pStyle w:val="Style17"/>
        <w:numPr>
          <w:ilvl w:val="0"/>
          <w:numId w:val="3"/>
        </w:numPr>
        <w:rPr/>
      </w:pPr>
      <w:r>
        <w:rPr/>
        <w:t>У</w:t>
      </w:r>
      <w:r>
        <w:rPr/>
        <w:t>множе</w:t>
      </w:r>
      <w:r>
        <w:rPr/>
        <w:t>ние</w:t>
      </w:r>
      <w:r>
        <w:rPr/>
        <w:t xml:space="preserve"> на экспоненту. </w:t>
      </w:r>
    </w:p>
    <w:p>
      <w:pPr>
        <w:pStyle w:val="Style17"/>
        <w:rPr/>
      </w:pPr>
      <w:r>
        <w:rPr/>
        <w:t xml:space="preserve">Двумерное БПФ выполняется над полученными ранее амплитудными и фазовыми составляющими. Исходные изображения делятся на 4 </w:t>
      </w:r>
      <w:r>
        <w:rPr/>
        <w:t>рабочие</w:t>
      </w:r>
      <w:r>
        <w:rPr/>
        <w:t xml:space="preserve"> группы по оси </w:t>
      </w:r>
      <w:r>
        <w:rPr>
          <w:lang w:val="en-US"/>
        </w:rPr>
        <w:t>y</w:t>
      </w:r>
      <w:r>
        <w:rPr/>
        <w:t xml:space="preserve"> в терминах использования вычислительного шейдера </w:t>
      </w:r>
      <w:r>
        <w:rPr>
          <w:lang w:val="en-US"/>
        </w:rPr>
        <w:t>OpenGL</w:t>
      </w:r>
      <w:r>
        <w:rPr/>
        <w:t>. В каждой группе используется 1024 параллельно работающие нити (потоки в терминах вершинного шейдера). Каждая нить реализует используемый алгоритм БПФ над строками исходных матриц амплитуды и фазы, полученные на первом этапе. После этого происходит аналогичная операция, но уже над столбцами.</w:t>
      </w:r>
    </w:p>
    <w:p>
      <w:pPr>
        <w:pStyle w:val="Style17"/>
        <w:rPr/>
      </w:pPr>
      <w:r>
        <w:rPr>
          <w:rFonts w:eastAsia="Times New Roman"/>
        </w:rPr>
        <w:t xml:space="preserve"> </w:t>
      </w:r>
      <w:r>
        <w:rPr>
          <w:b/>
          <w:bCs/>
        </w:rPr>
        <w:t>Заключение</w:t>
      </w:r>
      <w:r>
        <w:rPr/>
        <w:t>. В результате были разработаны алгоритмы регистрации и восстановления цифровых голограмм на основе C++ и OpenGL. С++ используется для управления. Основные вычислительные операции реализуются на графическом процессоре с помощью OpenGL.</w:t>
      </w:r>
    </w:p>
    <w:p>
      <w:pPr>
        <w:pStyle w:val="Style17"/>
        <w:rPr/>
      </w:pPr>
      <w:r>
        <w:rPr/>
        <w:t xml:space="preserve">Реализован метод получения цифровых математических голограмм с использованием метода фазовых сдвигов и метод преобразования Френеля на графическом ускорителе NVIDIA GTX 1070. </w:t>
      </w:r>
    </w:p>
    <w:p>
      <w:pPr>
        <w:pStyle w:val="Style17"/>
        <w:rPr/>
      </w:pPr>
      <w:r>
        <w:rPr/>
        <w:t>Время восстановления изображения из четырех голограмм менее секунды при размере голограмм 6000x4000 пикселей при использовании графического ускорителя NVIDIA GTX 1070. Время расшифровки на компьютере около 5 минут.</w:t>
      </w:r>
    </w:p>
    <w:p>
      <w:pPr>
        <w:pStyle w:val="Style17"/>
        <w:rPr/>
      </w:pPr>
      <w:r>
        <w:rPr/>
      </w:r>
    </w:p>
    <w:p>
      <w:pPr>
        <w:pStyle w:val="Style17"/>
        <w:rPr/>
      </w:pPr>
      <w:r>
        <w:rPr/>
        <w:t>Литература:</w:t>
      </w:r>
    </w:p>
    <w:p>
      <w:pPr>
        <w:pStyle w:val="Style17"/>
        <w:numPr>
          <w:ilvl w:val="0"/>
          <w:numId w:val="2"/>
        </w:numPr>
        <w:ind w:left="720" w:right="0" w:hanging="11"/>
        <w:rPr/>
      </w:pPr>
      <w:r>
        <w:rPr/>
        <w:t>Гужов В.И. Компьютерная голография: монография. Новосибирск: Изд-во НГТУ, 2018. – 270 с</w:t>
      </w:r>
    </w:p>
    <w:p>
      <w:pPr>
        <w:pStyle w:val="Style17"/>
        <w:numPr>
          <w:ilvl w:val="0"/>
          <w:numId w:val="2"/>
        </w:numPr>
        <w:ind w:left="720" w:right="0" w:hanging="11"/>
        <w:rPr/>
      </w:pPr>
      <w:r>
        <w:rPr/>
        <w:t xml:space="preserve">В. И. Гужов, С. П. Ильиных, С. В. Хайбуллин. Восстановление фазовой информации на основе методов пошагового фазового сдвига при малых углах между интерферирующими пучками // Автометрия. - 2017.  - Т. 53, № 3. - С. 101 — 106. </w:t>
      </w:r>
    </w:p>
    <w:p>
      <w:pPr>
        <w:pStyle w:val="Style17"/>
        <w:numPr>
          <w:ilvl w:val="0"/>
          <w:numId w:val="2"/>
        </w:numPr>
        <w:ind w:left="720" w:right="0" w:hanging="11"/>
        <w:rPr/>
      </w:pPr>
      <w:r>
        <w:rPr>
          <w:lang w:val="en-US"/>
        </w:rPr>
        <w:t>The OpenGL® Graphics System:A Specification (Version 4.6 (Core Profile) - May 5, 2022 [</w:t>
      </w:r>
      <w:r>
        <w:rPr/>
        <w:t>Электронный</w:t>
      </w:r>
      <w:r>
        <w:rPr>
          <w:lang w:val="en-US"/>
        </w:rPr>
        <w:t xml:space="preserve"> </w:t>
      </w:r>
      <w:r>
        <w:rPr/>
        <w:t>ресурс</w:t>
      </w:r>
      <w:r>
        <w:rPr>
          <w:lang w:val="en-US"/>
        </w:rPr>
        <w:t>].</w:t>
      </w:r>
      <w:r>
        <w:rPr/>
        <w:t>Режим</w:t>
      </w:r>
      <w:r>
        <w:rPr>
          <w:lang w:val="en-US"/>
        </w:rPr>
        <w:t xml:space="preserve"> </w:t>
      </w:r>
      <w:r>
        <w:rPr/>
        <w:t>доступа</w:t>
      </w:r>
      <w:r>
        <w:rPr>
          <w:lang w:val="en-US"/>
        </w:rPr>
        <w:t xml:space="preserve">- </w:t>
      </w:r>
      <w:hyperlink r:id="rId3">
        <w:r>
          <w:rPr>
            <w:lang w:val="en-US"/>
          </w:rPr>
          <w:t>https://registry.khronos.org/OpenGL/specs/gl/glspec46.core.pdf</w:t>
        </w:r>
      </w:hyperlink>
      <w:r>
        <w:rPr>
          <w:lang w:val="en-US"/>
        </w:rPr>
        <w:t>, (</w:t>
      </w:r>
      <w:r>
        <w:rPr/>
        <w:t>дата</w:t>
      </w:r>
      <w:r>
        <w:rPr>
          <w:lang w:val="en-US"/>
        </w:rPr>
        <w:t xml:space="preserve"> </w:t>
      </w:r>
      <w:r>
        <w:rPr/>
        <w:t>обращения</w:t>
      </w:r>
      <w:r>
        <w:rPr>
          <w:lang w:val="en-US"/>
        </w:rPr>
        <w:t xml:space="preserve"> 30.10.2022).</w:t>
      </w:r>
    </w:p>
    <w:sectPr>
      <w:type w:val="nextPage"/>
      <w:pgSz w:w="8391" w:h="11906"/>
      <w:pgMar w:left="1077" w:right="1077" w:gutter="0" w:header="0" w:top="1134" w:footer="0" w:bottom="1134"/>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Times New Roman">
    <w:charset w:val="cc"/>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decimal"/>
      <w:suff w:val="space"/>
      <w:lvlText w:val="%1."/>
      <w:lvlJc w:val="left"/>
      <w:pPr>
        <w:tabs>
          <w:tab w:val="num" w:pos="0"/>
        </w:tabs>
        <w:ind w:left="720" w:hanging="11"/>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200"/>
  <w:displayBackgroundShape/>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ru-RU"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NSimSun" w:cs="Arial"/>
      <w:b/>
      <w:color w:val="auto"/>
      <w:kern w:val="2"/>
      <w:sz w:val="20"/>
      <w:szCs w:val="24"/>
      <w:lang w:val="ru-RU" w:eastAsia="zh-CN" w:bidi="hi-IN"/>
    </w:rPr>
  </w:style>
  <w:style w:type="paragraph" w:styleId="1">
    <w:name w:val="Heading 1"/>
    <w:basedOn w:val="Style16"/>
    <w:next w:val="Style17"/>
    <w:qFormat/>
    <w:pPr>
      <w:numPr>
        <w:ilvl w:val="0"/>
        <w:numId w:val="1"/>
      </w:numPr>
      <w:spacing w:before="240" w:after="120"/>
      <w:outlineLvl w:val="0"/>
    </w:pPr>
    <w:rPr>
      <w:b/>
      <w:bCs/>
      <w:sz w:val="20"/>
      <w:szCs w:val="36"/>
    </w:rPr>
  </w:style>
  <w:style w:type="character" w:styleId="Style13">
    <w:name w:val="Основной шрифт абзаца"/>
    <w:qFormat/>
    <w:rPr/>
  </w:style>
  <w:style w:type="character" w:styleId="Style14">
    <w:name w:val="Интернет-ссылка"/>
    <w:rPr>
      <w:color w:val="000080"/>
      <w:u w:val="single"/>
      <w:lang w:val="zxx" w:bidi="zxx"/>
    </w:rPr>
  </w:style>
  <w:style w:type="character" w:styleId="Style15">
    <w:name w:val="Символ нумерации"/>
    <w:qFormat/>
    <w:rPr/>
  </w:style>
  <w:style w:type="paragraph" w:styleId="Style16">
    <w:name w:val="Заголовок"/>
    <w:basedOn w:val="Normal"/>
    <w:next w:val="Style17"/>
    <w:qFormat/>
    <w:pPr>
      <w:keepNext w:val="true"/>
      <w:spacing w:before="240" w:after="120"/>
    </w:pPr>
    <w:rPr>
      <w:rFonts w:ascii="Times New Roman" w:hAnsi="Times New Roman" w:eastAsia="Microsoft YaHei" w:cs="Arial"/>
      <w:sz w:val="20"/>
      <w:szCs w:val="28"/>
    </w:rPr>
  </w:style>
  <w:style w:type="paragraph" w:styleId="Style17">
    <w:name w:val="Body Text"/>
    <w:basedOn w:val="Normal"/>
    <w:pPr>
      <w:spacing w:lineRule="auto" w:line="276" w:before="0" w:after="0"/>
      <w:ind w:left="0" w:right="0" w:firstLine="709"/>
      <w:jc w:val="both"/>
    </w:pPr>
    <w:rPr>
      <w:rFonts w:ascii="Times New Roman" w:hAnsi="Times New Roman" w:cs="Times New Roman"/>
      <w:b w:val="false"/>
      <w:sz w:val="20"/>
    </w:rPr>
  </w:style>
  <w:style w:type="paragraph" w:styleId="Style18">
    <w:name w:val="List"/>
    <w:basedOn w:val="Style17"/>
    <w:pPr/>
    <w:rPr>
      <w:rFonts w:cs="Arial"/>
    </w:rPr>
  </w:style>
  <w:style w:type="paragraph" w:styleId="Style19">
    <w:name w:val="Caption"/>
    <w:basedOn w:val="Normal"/>
    <w:qFormat/>
    <w:pPr>
      <w:suppressLineNumbers/>
      <w:spacing w:before="120" w:after="120"/>
    </w:pPr>
    <w:rPr>
      <w:rFonts w:cs="Arial"/>
      <w:i/>
      <w:iCs/>
      <w:sz w:val="24"/>
      <w:szCs w:val="24"/>
    </w:rPr>
  </w:style>
  <w:style w:type="paragraph" w:styleId="Style20">
    <w:name w:val="Указатель"/>
    <w:basedOn w:val="Normal"/>
    <w:qFormat/>
    <w:pPr>
      <w:suppressLineNumbers/>
    </w:pPr>
    <w:rPr>
      <w:rFonts w:cs="Arial"/>
      <w:lang w:val="zxx" w:eastAsia="zxx" w:bidi="zxx"/>
    </w:rPr>
  </w:style>
  <w:style w:type="paragraph" w:styleId="Style21">
    <w:name w:val="Название объекта"/>
    <w:basedOn w:val="Normal"/>
    <w:qFormat/>
    <w:pPr>
      <w:suppressLineNumbers/>
      <w:spacing w:before="120" w:after="120"/>
    </w:pPr>
    <w:rPr>
      <w:rFonts w:cs="Arial"/>
      <w:i/>
      <w:iCs/>
      <w:sz w:val="24"/>
      <w:szCs w:val="24"/>
    </w:rPr>
  </w:style>
  <w:style w:type="paragraph" w:styleId="11">
    <w:name w:val="Указатель1"/>
    <w:basedOn w:val="Normal"/>
    <w:qFormat/>
    <w:pPr>
      <w:suppressLineNumbers/>
    </w:pPr>
    <w:rPr>
      <w:rFonts w:cs="Arial"/>
      <w:lang w:val="zxx" w:bidi="zxx"/>
    </w:rPr>
  </w:style>
  <w:style w:type="paragraph" w:styleId="Style22">
    <w:name w:val="Содержимое таблицы"/>
    <w:basedOn w:val="Normal"/>
    <w:qFormat/>
    <w:pPr>
      <w:widowControl w:val="false"/>
      <w:suppressLineNumbers/>
    </w:pPr>
    <w:rPr>
      <w:b w:val="false"/>
    </w:rPr>
  </w:style>
  <w:style w:type="paragraph" w:styleId="Style23">
    <w:name w:val="Содержимое врезки"/>
    <w:basedOn w:val="Normal"/>
    <w:qFormat/>
    <w:pPr/>
    <w:rPr/>
  </w:style>
  <w:style w:type="paragraph" w:styleId="Style24">
    <w:name w:val="Заголовок таблицы"/>
    <w:basedOn w:val="Style22"/>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potapov.2017@stud.nstu.ru" TargetMode="External"/><Relationship Id="rId3" Type="http://schemas.openxmlformats.org/officeDocument/2006/relationships/hyperlink" Target="https://registry.khronos.org/OpenGL/specs/gl/glspec46.core.pdf"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172</TotalTime>
  <Application>LibreOffice/7.3.5.2$Windows_X86_64 LibreOffice_project/184fe81b8c8c30d8b5082578aee2fed2ea847c01</Application>
  <AppVersion>15.0000</AppVersion>
  <Pages>5</Pages>
  <Words>919</Words>
  <Characters>6646</Characters>
  <CharactersWithSpaces>7540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2022-11-02T10:42:00Z</dcterms:created>
  <dc:creator>Григорий</dc:creator>
  <dc:description/>
  <dc:language>ru-RU</dc:language>
  <cp:lastModifiedBy/>
  <dcterms:modified xsi:type="dcterms:W3CDTF">2022-11-03T22:03:01Z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