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0C8D" w14:textId="77777777" w:rsidR="00E5328F" w:rsidRDefault="00E5328F" w:rsidP="00E5328F">
      <w:pPr>
        <w:spacing w:line="360" w:lineRule="auto"/>
        <w:rPr>
          <w:rFonts w:ascii="Arial" w:hAnsi="Arial" w:cs="Arial"/>
          <w:sz w:val="22"/>
          <w:szCs w:val="22"/>
        </w:rPr>
      </w:pPr>
      <w:r>
        <w:rPr>
          <w:rFonts w:ascii="Arial" w:hAnsi="Arial" w:cs="Arial"/>
          <w:sz w:val="22"/>
          <w:szCs w:val="22"/>
        </w:rPr>
        <w:t>In neuroscience, f</w:t>
      </w:r>
      <w:r w:rsidRPr="00527950">
        <w:rPr>
          <w:rFonts w:ascii="Arial" w:hAnsi="Arial" w:cs="Arial"/>
          <w:sz w:val="22"/>
          <w:szCs w:val="22"/>
        </w:rPr>
        <w:t xml:space="preserve">unctional brain networks consist of separated brain regions and functional connectivities between pairs of brain regions. Functional connectivity </w:t>
      </w:r>
      <w:r>
        <w:rPr>
          <w:rFonts w:ascii="Arial" w:hAnsi="Arial" w:cs="Arial"/>
          <w:sz w:val="22"/>
          <w:szCs w:val="22"/>
        </w:rPr>
        <w:t>represents</w:t>
      </w:r>
      <w:r w:rsidRPr="00527950">
        <w:rPr>
          <w:rFonts w:ascii="Arial" w:hAnsi="Arial" w:cs="Arial"/>
          <w:sz w:val="22"/>
          <w:szCs w:val="22"/>
        </w:rPr>
        <w:t xml:space="preserve"> the temporal dependency of neuronal activation patterns of </w:t>
      </w:r>
      <w:r>
        <w:rPr>
          <w:rFonts w:ascii="Arial" w:hAnsi="Arial" w:cs="Arial"/>
          <w:sz w:val="22"/>
          <w:szCs w:val="22"/>
        </w:rPr>
        <w:t>different</w:t>
      </w:r>
      <w:r w:rsidRPr="00527950">
        <w:rPr>
          <w:rFonts w:ascii="Arial" w:hAnsi="Arial" w:cs="Arial"/>
          <w:sz w:val="22"/>
          <w:szCs w:val="22"/>
        </w:rPr>
        <w:t xml:space="preserve"> brain regions</w:t>
      </w:r>
      <w:r>
        <w:rPr>
          <w:rFonts w:ascii="Arial" w:hAnsi="Arial" w:cs="Arial"/>
          <w:sz w:val="22"/>
          <w:szCs w:val="22"/>
        </w:rPr>
        <w:t xml:space="preserve">. </w:t>
      </w:r>
      <w:hyperlink r:id="rId5" w:history="1">
        <w:r w:rsidRPr="000A453D">
          <w:rPr>
            <w:rStyle w:val="Hyperlink"/>
            <w:rFonts w:ascii="Arial" w:hAnsi="Arial" w:cs="Arial"/>
            <w:sz w:val="22"/>
            <w:szCs w:val="22"/>
          </w:rPr>
          <w:t>https://pmc.ncbi.nlm.nih.gov/articles/PMC4883160/</w:t>
        </w:r>
      </w:hyperlink>
      <w:r>
        <w:rPr>
          <w:rFonts w:ascii="Arial" w:hAnsi="Arial" w:cs="Arial"/>
          <w:sz w:val="22"/>
          <w:szCs w:val="22"/>
        </w:rPr>
        <w:t xml:space="preserve"> </w:t>
      </w:r>
      <w:hyperlink r:id="rId6" w:history="1">
        <w:r w:rsidRPr="000A453D">
          <w:rPr>
            <w:rStyle w:val="Hyperlink"/>
            <w:rFonts w:ascii="Arial" w:hAnsi="Arial" w:cs="Arial"/>
            <w:sz w:val="22"/>
            <w:szCs w:val="22"/>
          </w:rPr>
          <w:t>https://www.sciencedirect.com/science/article/pii/S0924977X10000684?via%3Dihub</w:t>
        </w:r>
      </w:hyperlink>
      <w:r>
        <w:rPr>
          <w:rFonts w:ascii="Arial" w:hAnsi="Arial" w:cs="Arial"/>
          <w:sz w:val="22"/>
          <w:szCs w:val="22"/>
        </w:rPr>
        <w:t xml:space="preserve"> </w:t>
      </w:r>
    </w:p>
    <w:p w14:paraId="6297345E" w14:textId="77777777" w:rsidR="00E5328F" w:rsidRDefault="00E5328F" w:rsidP="00E5328F">
      <w:pPr>
        <w:spacing w:line="360" w:lineRule="auto"/>
        <w:rPr>
          <w:rFonts w:ascii="Arial" w:hAnsi="Arial" w:cs="Arial"/>
          <w:sz w:val="22"/>
          <w:szCs w:val="22"/>
        </w:rPr>
      </w:pPr>
      <w:r>
        <w:rPr>
          <w:rFonts w:ascii="Arial" w:hAnsi="Arial" w:cs="Arial"/>
          <w:sz w:val="22"/>
          <w:szCs w:val="22"/>
        </w:rPr>
        <w:t xml:space="preserve">A few different methods are used for analyzing brain dynamics via functional networks, such as </w:t>
      </w:r>
      <w:r w:rsidRPr="00000822">
        <w:rPr>
          <w:rFonts w:ascii="Arial" w:hAnsi="Arial" w:cs="Arial"/>
          <w:sz w:val="22"/>
          <w:szCs w:val="22"/>
        </w:rPr>
        <w:t>electroencephalography (EEG), magnetoencephalography (MEG) or functional magnetic resonance imaging (fMRI)</w:t>
      </w:r>
      <w:r>
        <w:rPr>
          <w:rFonts w:ascii="Arial" w:hAnsi="Arial" w:cs="Arial"/>
          <w:sz w:val="22"/>
          <w:szCs w:val="22"/>
        </w:rPr>
        <w:t xml:space="preserve">.  </w:t>
      </w:r>
      <w:hyperlink r:id="rId7" w:history="1">
        <w:r w:rsidRPr="000A453D">
          <w:rPr>
            <w:rStyle w:val="Hyperlink"/>
            <w:rFonts w:ascii="Arial" w:hAnsi="Arial" w:cs="Arial"/>
            <w:sz w:val="22"/>
            <w:szCs w:val="22"/>
          </w:rPr>
          <w:t>https://www.nature.com/articles/s41598-021-94797-y</w:t>
        </w:r>
      </w:hyperlink>
      <w:r>
        <w:rPr>
          <w:rFonts w:ascii="Arial" w:hAnsi="Arial" w:cs="Arial"/>
          <w:sz w:val="22"/>
          <w:szCs w:val="22"/>
        </w:rPr>
        <w:t xml:space="preserve"> </w:t>
      </w:r>
    </w:p>
    <w:p w14:paraId="5DC0EE5C" w14:textId="77777777" w:rsidR="00E5328F" w:rsidRDefault="00E5328F" w:rsidP="00E5328F">
      <w:pPr>
        <w:spacing w:line="360" w:lineRule="auto"/>
        <w:rPr>
          <w:rFonts w:ascii="Arial" w:hAnsi="Arial" w:cs="Arial"/>
          <w:sz w:val="22"/>
          <w:szCs w:val="22"/>
        </w:rPr>
      </w:pPr>
      <w:r>
        <w:rPr>
          <w:rFonts w:ascii="Arial" w:hAnsi="Arial" w:cs="Arial"/>
          <w:sz w:val="22"/>
          <w:szCs w:val="22"/>
        </w:rPr>
        <w:t xml:space="preserve">This study is focused on functional magnetic resonance imaging (fMRI), a non-invasive imaging technique used in cognitive neuroscience for its good spatial resolution, low cost, and widespread availability. </w:t>
      </w:r>
      <w:hyperlink r:id="rId8" w:history="1">
        <w:r w:rsidRPr="000A453D">
          <w:rPr>
            <w:rStyle w:val="Hyperlink"/>
            <w:rFonts w:ascii="Arial" w:hAnsi="Arial" w:cs="Arial"/>
            <w:sz w:val="22"/>
            <w:szCs w:val="22"/>
          </w:rPr>
          <w:t>https://www.nature.com/articles/nrn730#Sec1</w:t>
        </w:r>
      </w:hyperlink>
      <w:r>
        <w:rPr>
          <w:rFonts w:ascii="Arial" w:hAnsi="Arial" w:cs="Arial"/>
          <w:sz w:val="22"/>
          <w:szCs w:val="22"/>
        </w:rPr>
        <w:t xml:space="preserve"> </w:t>
      </w:r>
      <w:hyperlink r:id="rId9" w:history="1">
        <w:r w:rsidRPr="000A453D">
          <w:rPr>
            <w:rStyle w:val="Hyperlink"/>
            <w:rFonts w:ascii="Arial" w:hAnsi="Arial" w:cs="Arial"/>
            <w:sz w:val="22"/>
            <w:szCs w:val="22"/>
          </w:rPr>
          <w:t>https://pmc.ncbi.nlm.nih.gov/articles/PMC3073717/</w:t>
        </w:r>
      </w:hyperlink>
      <w:r>
        <w:rPr>
          <w:rFonts w:ascii="Arial" w:hAnsi="Arial" w:cs="Arial"/>
          <w:sz w:val="22"/>
          <w:szCs w:val="22"/>
        </w:rPr>
        <w:t xml:space="preserve"> </w:t>
      </w:r>
    </w:p>
    <w:p w14:paraId="4D85350F" w14:textId="77777777" w:rsidR="00E5328F" w:rsidRDefault="00E5328F" w:rsidP="00E5328F">
      <w:pPr>
        <w:spacing w:line="360" w:lineRule="auto"/>
        <w:rPr>
          <w:rFonts w:ascii="Arial" w:hAnsi="Arial" w:cs="Arial"/>
          <w:sz w:val="22"/>
          <w:szCs w:val="22"/>
        </w:rPr>
      </w:pPr>
      <w:r>
        <w:rPr>
          <w:rFonts w:ascii="Arial" w:hAnsi="Arial" w:cs="Arial"/>
          <w:sz w:val="22"/>
          <w:szCs w:val="22"/>
        </w:rPr>
        <w:t xml:space="preserve">This method relies on blood-oxygen-level-dependent (BOLD) signal in order to indirectly measure the neuronal activity of the brain. </w:t>
      </w:r>
      <w:hyperlink r:id="rId10" w:history="1">
        <w:r w:rsidRPr="000A453D">
          <w:rPr>
            <w:rStyle w:val="Hyperlink"/>
            <w:rFonts w:ascii="Arial" w:hAnsi="Arial" w:cs="Arial"/>
            <w:sz w:val="22"/>
            <w:szCs w:val="22"/>
          </w:rPr>
          <w:t>https://pmc.ncbi.nlm.nih.gov/articles/PMC2799958/</w:t>
        </w:r>
      </w:hyperlink>
    </w:p>
    <w:p w14:paraId="0A516109" w14:textId="77777777" w:rsidR="00E5328F" w:rsidRDefault="00E5328F" w:rsidP="00E5328F">
      <w:pPr>
        <w:spacing w:line="360" w:lineRule="auto"/>
        <w:rPr>
          <w:rFonts w:ascii="Arial" w:hAnsi="Arial" w:cs="Arial"/>
          <w:sz w:val="22"/>
          <w:szCs w:val="22"/>
        </w:rPr>
      </w:pPr>
      <w:r>
        <w:rPr>
          <w:rFonts w:ascii="Arial" w:hAnsi="Arial" w:cs="Arial"/>
          <w:sz w:val="22"/>
          <w:szCs w:val="22"/>
        </w:rPr>
        <w:t xml:space="preserve">T2*-weighted imaging is an MRI sequence used for its sensitivity to local </w:t>
      </w:r>
      <w:r w:rsidRPr="005E7BD6">
        <w:rPr>
          <w:rFonts w:ascii="Arial" w:hAnsi="Arial" w:cs="Arial"/>
          <w:sz w:val="22"/>
          <w:szCs w:val="22"/>
        </w:rPr>
        <w:t>concentrations of paramagnetic deoxyhemoglobin (HbR)</w:t>
      </w:r>
      <w:r>
        <w:rPr>
          <w:rFonts w:ascii="Arial" w:hAnsi="Arial" w:cs="Arial"/>
          <w:sz w:val="22"/>
          <w:szCs w:val="22"/>
        </w:rPr>
        <w:t xml:space="preserve">. fMRI utilizes T2* relaxation, which refers to the </w:t>
      </w:r>
      <w:r w:rsidRPr="00E5710C">
        <w:rPr>
          <w:rFonts w:ascii="Arial" w:hAnsi="Arial" w:cs="Arial"/>
          <w:sz w:val="22"/>
          <w:szCs w:val="22"/>
        </w:rPr>
        <w:t>decay of transverse magnetization</w:t>
      </w:r>
      <w:r>
        <w:rPr>
          <w:rFonts w:ascii="Arial" w:hAnsi="Arial" w:cs="Arial"/>
          <w:sz w:val="22"/>
          <w:szCs w:val="22"/>
        </w:rPr>
        <w:t xml:space="preserve"> observed in gradient-echo (GRE) sequences, to localize changes in blood flow and map BOLD signals. When a stimulus is applied to a specific region of the brain, the BOLD signal detects a </w:t>
      </w:r>
      <w:r w:rsidRPr="00BD69E7">
        <w:rPr>
          <w:rFonts w:ascii="Arial" w:hAnsi="Arial" w:cs="Arial"/>
          <w:sz w:val="22"/>
          <w:szCs w:val="22"/>
        </w:rPr>
        <w:t xml:space="preserve">decrease in HbR </w:t>
      </w:r>
      <w:r>
        <w:rPr>
          <w:rFonts w:ascii="Arial" w:hAnsi="Arial" w:cs="Arial"/>
          <w:sz w:val="22"/>
          <w:szCs w:val="22"/>
        </w:rPr>
        <w:t>which shows an</w:t>
      </w:r>
      <w:r w:rsidRPr="00BD69E7">
        <w:rPr>
          <w:rFonts w:ascii="Arial" w:hAnsi="Arial" w:cs="Arial"/>
          <w:sz w:val="22"/>
          <w:szCs w:val="22"/>
        </w:rPr>
        <w:t xml:space="preserve"> overoxygenation of the </w:t>
      </w:r>
      <w:r>
        <w:rPr>
          <w:rFonts w:ascii="Arial" w:hAnsi="Arial" w:cs="Arial"/>
          <w:sz w:val="22"/>
          <w:szCs w:val="22"/>
        </w:rPr>
        <w:t>observed</w:t>
      </w:r>
      <w:r w:rsidRPr="00BD69E7">
        <w:rPr>
          <w:rFonts w:ascii="Arial" w:hAnsi="Arial" w:cs="Arial"/>
          <w:sz w:val="22"/>
          <w:szCs w:val="22"/>
        </w:rPr>
        <w:t xml:space="preserve"> </w:t>
      </w:r>
      <w:r>
        <w:rPr>
          <w:rFonts w:ascii="Arial" w:hAnsi="Arial" w:cs="Arial"/>
          <w:sz w:val="22"/>
          <w:szCs w:val="22"/>
        </w:rPr>
        <w:t xml:space="preserve">response. </w:t>
      </w:r>
      <w:hyperlink r:id="rId11" w:history="1">
        <w:r w:rsidRPr="000A453D">
          <w:rPr>
            <w:rStyle w:val="Hyperlink"/>
            <w:rFonts w:ascii="Arial" w:hAnsi="Arial" w:cs="Arial"/>
            <w:sz w:val="22"/>
            <w:szCs w:val="22"/>
          </w:rPr>
          <w:t>https://pmc.ncbi.nlm.nih.gov/articles/PMC2799958/</w:t>
        </w:r>
      </w:hyperlink>
      <w:r>
        <w:rPr>
          <w:rFonts w:ascii="Arial" w:hAnsi="Arial" w:cs="Arial"/>
          <w:sz w:val="22"/>
          <w:szCs w:val="22"/>
        </w:rPr>
        <w:t xml:space="preserve"> </w:t>
      </w:r>
      <w:hyperlink r:id="rId12" w:history="1">
        <w:r w:rsidRPr="000A453D">
          <w:rPr>
            <w:rStyle w:val="Hyperlink"/>
            <w:rFonts w:ascii="Arial" w:hAnsi="Arial" w:cs="Arial"/>
            <w:sz w:val="22"/>
            <w:szCs w:val="22"/>
          </w:rPr>
          <w:t>https://pmc.ncbi.nlm.nih.gov/articles/PMC4147398/</w:t>
        </w:r>
      </w:hyperlink>
      <w:r>
        <w:rPr>
          <w:rFonts w:ascii="Arial" w:hAnsi="Arial" w:cs="Arial"/>
          <w:sz w:val="22"/>
          <w:szCs w:val="22"/>
        </w:rPr>
        <w:t xml:space="preserve"> </w:t>
      </w:r>
    </w:p>
    <w:p w14:paraId="6F044EEA" w14:textId="77777777" w:rsidR="00E5328F" w:rsidRDefault="00E5328F" w:rsidP="00E5328F">
      <w:pPr>
        <w:spacing w:line="360" w:lineRule="auto"/>
        <w:rPr>
          <w:rFonts w:ascii="Arial" w:hAnsi="Arial" w:cs="Arial"/>
          <w:sz w:val="22"/>
          <w:szCs w:val="22"/>
        </w:rPr>
      </w:pPr>
      <w:r>
        <w:rPr>
          <w:rFonts w:ascii="Arial" w:hAnsi="Arial" w:cs="Arial"/>
          <w:sz w:val="22"/>
          <w:szCs w:val="22"/>
        </w:rPr>
        <w:t xml:space="preserve">Multiple classifications of the functional networks exist, but out of the seven large-scale brain networks identified by Yeo’s Atlas in 2013 – the Default Mode Network (DMN), the Visual Network (VIN), the Somatomotor Network (SMN), the Dorsal Attention Network (DAN), the Ventral Attention Network (VAN), the Limbic Network (LIN), and the Frontoparietal Network (FPN) – the most researched one is the Default Mode Network. … </w:t>
      </w:r>
      <w:hyperlink r:id="rId13" w:history="1">
        <w:r w:rsidRPr="000A453D">
          <w:rPr>
            <w:rStyle w:val="Hyperlink"/>
            <w:rFonts w:ascii="Arial" w:hAnsi="Arial" w:cs="Arial"/>
            <w:sz w:val="22"/>
            <w:szCs w:val="22"/>
          </w:rPr>
          <w:t>https://pmc.ncbi.nlm.nih.gov/articles/PMC3174820/</w:t>
        </w:r>
      </w:hyperlink>
      <w:r>
        <w:rPr>
          <w:rFonts w:ascii="Arial" w:hAnsi="Arial" w:cs="Arial"/>
          <w:sz w:val="22"/>
          <w:szCs w:val="22"/>
        </w:rPr>
        <w:t xml:space="preserve"> </w:t>
      </w:r>
    </w:p>
    <w:p w14:paraId="13544D23" w14:textId="77777777" w:rsidR="00E5328F" w:rsidRDefault="00E5328F" w:rsidP="00E5328F">
      <w:pPr>
        <w:spacing w:line="360" w:lineRule="auto"/>
        <w:rPr>
          <w:rFonts w:ascii="Arial" w:hAnsi="Arial" w:cs="Arial"/>
          <w:sz w:val="22"/>
          <w:szCs w:val="22"/>
        </w:rPr>
      </w:pPr>
      <w:r>
        <w:rPr>
          <w:rFonts w:ascii="Arial" w:hAnsi="Arial" w:cs="Arial"/>
          <w:sz w:val="22"/>
          <w:szCs w:val="22"/>
        </w:rPr>
        <w:t>The Executive Control Network, also called the Frontoparietal Network or the Central Executive Network…</w:t>
      </w:r>
    </w:p>
    <w:p w14:paraId="2420015F" w14:textId="77777777" w:rsidR="00E5328F" w:rsidRPr="00522CEE" w:rsidRDefault="00E5328F" w:rsidP="00E5328F">
      <w:pPr>
        <w:spacing w:line="360" w:lineRule="auto"/>
        <w:rPr>
          <w:rFonts w:ascii="Arial" w:hAnsi="Arial" w:cs="Arial"/>
          <w:b/>
          <w:bCs/>
          <w:sz w:val="22"/>
          <w:szCs w:val="22"/>
        </w:rPr>
      </w:pPr>
      <w:r w:rsidRPr="00522CEE">
        <w:rPr>
          <w:rFonts w:ascii="Arial" w:hAnsi="Arial" w:cs="Arial"/>
          <w:b/>
          <w:bCs/>
          <w:sz w:val="22"/>
          <w:szCs w:val="22"/>
        </w:rPr>
        <w:lastRenderedPageBreak/>
        <w:t xml:space="preserve">Responsible for tasks and decision making, it acts as “the external mind.” As one of the dominant control networks in the brain, the CEN performs high-level cognitive tasks and works in anti-correlation with the DMN. </w:t>
      </w:r>
    </w:p>
    <w:p w14:paraId="7AE16230" w14:textId="77777777" w:rsidR="00E5328F" w:rsidRPr="00522CEE" w:rsidRDefault="00E5328F" w:rsidP="00E5328F">
      <w:pPr>
        <w:rPr>
          <w:b/>
          <w:bCs/>
        </w:rPr>
      </w:pPr>
      <w:r w:rsidRPr="00522CEE">
        <w:rPr>
          <w:b/>
          <w:bCs/>
        </w:rPr>
        <w:t>The CEN engages in:</w:t>
      </w:r>
    </w:p>
    <w:p w14:paraId="3380D2FC" w14:textId="77777777" w:rsidR="00E5328F" w:rsidRPr="00522CEE" w:rsidRDefault="00E5328F" w:rsidP="00E5328F">
      <w:pPr>
        <w:numPr>
          <w:ilvl w:val="1"/>
          <w:numId w:val="2"/>
        </w:numPr>
        <w:rPr>
          <w:b/>
          <w:bCs/>
        </w:rPr>
      </w:pPr>
      <w:r w:rsidRPr="00522CEE">
        <w:rPr>
          <w:b/>
          <w:bCs/>
        </w:rPr>
        <w:t>Active tasks and external thinking involving working memory</w:t>
      </w:r>
      <w:r w:rsidRPr="00522CEE">
        <w:rPr>
          <w:b/>
          <w:bCs/>
          <w:vertAlign w:val="superscript"/>
        </w:rPr>
        <w:t>1</w:t>
      </w:r>
    </w:p>
    <w:p w14:paraId="702AD7A6" w14:textId="77777777" w:rsidR="00E5328F" w:rsidRPr="00522CEE" w:rsidRDefault="00E5328F" w:rsidP="00E5328F">
      <w:pPr>
        <w:numPr>
          <w:ilvl w:val="1"/>
          <w:numId w:val="2"/>
        </w:numPr>
        <w:rPr>
          <w:b/>
          <w:bCs/>
        </w:rPr>
      </w:pPr>
      <w:r w:rsidRPr="00522CEE">
        <w:rPr>
          <w:b/>
          <w:bCs/>
        </w:rPr>
        <w:t>Controlled processing of information</w:t>
      </w:r>
      <w:r w:rsidRPr="00522CEE">
        <w:rPr>
          <w:b/>
          <w:bCs/>
          <w:vertAlign w:val="superscript"/>
        </w:rPr>
        <w:t>2</w:t>
      </w:r>
    </w:p>
    <w:p w14:paraId="369FEDCC" w14:textId="77777777" w:rsidR="00E5328F" w:rsidRPr="00522CEE" w:rsidRDefault="00E5328F" w:rsidP="00E5328F">
      <w:pPr>
        <w:numPr>
          <w:ilvl w:val="1"/>
          <w:numId w:val="2"/>
        </w:numPr>
        <w:rPr>
          <w:b/>
          <w:bCs/>
        </w:rPr>
      </w:pPr>
      <w:r w:rsidRPr="00522CEE">
        <w:rPr>
          <w:b/>
          <w:bCs/>
        </w:rPr>
        <w:t>Integration of information from the other brain networks</w:t>
      </w:r>
      <w:r w:rsidRPr="00522CEE">
        <w:rPr>
          <w:b/>
          <w:bCs/>
          <w:vertAlign w:val="superscript"/>
        </w:rPr>
        <w:t>3</w:t>
      </w:r>
    </w:p>
    <w:p w14:paraId="30727391" w14:textId="77777777" w:rsidR="00E5328F" w:rsidRPr="00522CEE" w:rsidRDefault="00E5328F" w:rsidP="00E5328F">
      <w:pPr>
        <w:numPr>
          <w:ilvl w:val="1"/>
          <w:numId w:val="2"/>
        </w:numPr>
        <w:rPr>
          <w:b/>
          <w:bCs/>
        </w:rPr>
      </w:pPr>
      <w:r w:rsidRPr="00522CEE">
        <w:rPr>
          <w:b/>
          <w:bCs/>
        </w:rPr>
        <w:t>Rule-based problem solving and decision making</w:t>
      </w:r>
      <w:r w:rsidRPr="00522CEE">
        <w:rPr>
          <w:b/>
          <w:bCs/>
          <w:vertAlign w:val="superscript"/>
        </w:rPr>
        <w:t>4</w:t>
      </w:r>
    </w:p>
    <w:p w14:paraId="31C84DF4" w14:textId="77777777" w:rsidR="00E5328F" w:rsidRPr="00522CEE" w:rsidRDefault="00E5328F" w:rsidP="00E5328F">
      <w:pPr>
        <w:numPr>
          <w:ilvl w:val="1"/>
          <w:numId w:val="2"/>
        </w:numPr>
        <w:rPr>
          <w:b/>
          <w:bCs/>
        </w:rPr>
      </w:pPr>
      <w:r w:rsidRPr="00522CEE">
        <w:rPr>
          <w:b/>
          <w:bCs/>
        </w:rPr>
        <w:t>Consideration of multiple, independent stimuli and independent factors</w:t>
      </w:r>
      <w:r w:rsidRPr="00522CEE">
        <w:rPr>
          <w:b/>
          <w:bCs/>
          <w:vertAlign w:val="superscript"/>
        </w:rPr>
        <w:t>5,6</w:t>
      </w:r>
    </w:p>
    <w:p w14:paraId="6C636008" w14:textId="77777777" w:rsidR="00E5328F" w:rsidRPr="00522CEE" w:rsidRDefault="00E5328F" w:rsidP="00E5328F">
      <w:pPr>
        <w:numPr>
          <w:ilvl w:val="1"/>
          <w:numId w:val="2"/>
        </w:numPr>
        <w:rPr>
          <w:b/>
          <w:bCs/>
        </w:rPr>
      </w:pPr>
      <w:r w:rsidRPr="00522CEE">
        <w:rPr>
          <w:b/>
          <w:bCs/>
        </w:rPr>
        <w:t>Organizing behavior based on internal drives, subjective preferences, and choices</w:t>
      </w:r>
      <w:r w:rsidRPr="00522CEE">
        <w:rPr>
          <w:b/>
          <w:bCs/>
          <w:vertAlign w:val="superscript"/>
        </w:rPr>
        <w:t>7</w:t>
      </w:r>
    </w:p>
    <w:p w14:paraId="3B67FD4E" w14:textId="77777777" w:rsidR="00E5328F" w:rsidRPr="00522CEE" w:rsidRDefault="00E5328F" w:rsidP="00E5328F">
      <w:pPr>
        <w:numPr>
          <w:ilvl w:val="1"/>
          <w:numId w:val="2"/>
        </w:numPr>
        <w:rPr>
          <w:b/>
          <w:bCs/>
        </w:rPr>
      </w:pPr>
      <w:r w:rsidRPr="00522CEE">
        <w:rPr>
          <w:b/>
          <w:bCs/>
        </w:rPr>
        <w:t>Reinforce visually learned behaviors</w:t>
      </w:r>
    </w:p>
    <w:p w14:paraId="1F6D707B" w14:textId="77777777" w:rsidR="00E5328F" w:rsidRPr="009C0967" w:rsidRDefault="00E5328F" w:rsidP="00E5328F">
      <w:pPr>
        <w:spacing w:line="360" w:lineRule="auto"/>
        <w:rPr>
          <w:rFonts w:ascii="Arial" w:hAnsi="Arial" w:cs="Arial"/>
          <w:sz w:val="22"/>
          <w:szCs w:val="22"/>
        </w:rPr>
      </w:pPr>
    </w:p>
    <w:p w14:paraId="4480DBAD" w14:textId="77777777" w:rsidR="00E5328F" w:rsidRPr="00DA464F" w:rsidRDefault="00E5328F" w:rsidP="00E5328F">
      <w:pPr>
        <w:pStyle w:val="ListParagraph"/>
        <w:numPr>
          <w:ilvl w:val="0"/>
          <w:numId w:val="1"/>
        </w:numPr>
        <w:spacing w:line="360" w:lineRule="auto"/>
        <w:rPr>
          <w:rFonts w:ascii="Arial" w:hAnsi="Arial" w:cs="Arial"/>
          <w:sz w:val="22"/>
          <w:szCs w:val="22"/>
        </w:rPr>
      </w:pPr>
      <w:r>
        <w:rPr>
          <w:rFonts w:ascii="Arial" w:hAnsi="Arial" w:cs="Arial"/>
          <w:sz w:val="22"/>
          <w:szCs w:val="22"/>
        </w:rPr>
        <w:t>Vascular structure</w:t>
      </w:r>
    </w:p>
    <w:p w14:paraId="1E785025" w14:textId="77777777" w:rsidR="00E5328F" w:rsidRDefault="00E5328F" w:rsidP="00E5328F">
      <w:pPr>
        <w:pStyle w:val="ListParagraph"/>
        <w:numPr>
          <w:ilvl w:val="0"/>
          <w:numId w:val="1"/>
        </w:numPr>
        <w:spacing w:line="360" w:lineRule="auto"/>
        <w:rPr>
          <w:rFonts w:ascii="Arial" w:hAnsi="Arial" w:cs="Arial"/>
          <w:sz w:val="22"/>
          <w:szCs w:val="22"/>
        </w:rPr>
      </w:pPr>
      <w:r>
        <w:rPr>
          <w:rFonts w:ascii="Arial" w:hAnsi="Arial" w:cs="Arial"/>
          <w:sz w:val="22"/>
          <w:szCs w:val="22"/>
        </w:rPr>
        <w:t>Simon test</w:t>
      </w:r>
    </w:p>
    <w:p w14:paraId="08A75C2F" w14:textId="77777777" w:rsidR="00E5328F" w:rsidRDefault="00E5328F" w:rsidP="00E5328F">
      <w:pPr>
        <w:pStyle w:val="ListParagraph"/>
        <w:numPr>
          <w:ilvl w:val="0"/>
          <w:numId w:val="1"/>
        </w:numPr>
        <w:spacing w:line="360" w:lineRule="auto"/>
        <w:rPr>
          <w:rFonts w:ascii="Arial" w:hAnsi="Arial" w:cs="Arial"/>
          <w:sz w:val="22"/>
          <w:szCs w:val="22"/>
        </w:rPr>
      </w:pPr>
      <w:r>
        <w:rPr>
          <w:rFonts w:ascii="Arial" w:hAnsi="Arial" w:cs="Arial"/>
          <w:sz w:val="22"/>
          <w:szCs w:val="22"/>
        </w:rPr>
        <w:t xml:space="preserve">Default mode </w:t>
      </w:r>
      <w:r w:rsidRPr="0080111F">
        <w:t>interference hypothesis</w:t>
      </w:r>
    </w:p>
    <w:p w14:paraId="17882828" w14:textId="77777777" w:rsidR="00E5328F" w:rsidRPr="00C408D2" w:rsidRDefault="00E5328F" w:rsidP="00E5328F">
      <w:pPr>
        <w:pStyle w:val="ListParagraph"/>
        <w:numPr>
          <w:ilvl w:val="0"/>
          <w:numId w:val="1"/>
        </w:numPr>
        <w:spacing w:line="360" w:lineRule="auto"/>
        <w:rPr>
          <w:rFonts w:ascii="Arial" w:hAnsi="Arial" w:cs="Arial"/>
          <w:sz w:val="22"/>
          <w:szCs w:val="22"/>
        </w:rPr>
      </w:pPr>
      <w:r w:rsidRPr="00AA39A8">
        <w:rPr>
          <w:rFonts w:ascii="Arial" w:hAnsi="Arial" w:cs="Arial"/>
          <w:sz w:val="22"/>
          <w:szCs w:val="22"/>
        </w:rPr>
        <w:t>ADHD</w:t>
      </w:r>
    </w:p>
    <w:p w14:paraId="5D793908" w14:textId="77777777" w:rsidR="00E5328F" w:rsidRDefault="00E5328F" w:rsidP="00E5328F">
      <w:pPr>
        <w:spacing w:line="360" w:lineRule="auto"/>
        <w:rPr>
          <w:rFonts w:ascii="Arial" w:hAnsi="Arial" w:cs="Arial"/>
          <w:sz w:val="22"/>
          <w:szCs w:val="22"/>
        </w:rPr>
      </w:pPr>
      <w:r>
        <w:rPr>
          <w:rFonts w:ascii="Arial" w:hAnsi="Arial" w:cs="Arial"/>
          <w:sz w:val="22"/>
          <w:szCs w:val="22"/>
        </w:rPr>
        <w:t xml:space="preserve">The research question this study aims to investigate is: </w:t>
      </w:r>
      <w:r w:rsidRPr="0093645E">
        <w:rPr>
          <w:rFonts w:ascii="Arial" w:hAnsi="Arial" w:cs="Arial"/>
          <w:i/>
          <w:iCs/>
          <w:sz w:val="22"/>
          <w:szCs w:val="22"/>
        </w:rPr>
        <w:t>how does vascularity modulate the temporal efficiency of switching between the DMN and ECN during the Simon task</w:t>
      </w:r>
      <w:r>
        <w:rPr>
          <w:rFonts w:ascii="Arial" w:hAnsi="Arial" w:cs="Arial"/>
          <w:i/>
          <w:iCs/>
          <w:sz w:val="22"/>
          <w:szCs w:val="22"/>
        </w:rPr>
        <w:t xml:space="preserve">? </w:t>
      </w:r>
      <w:r>
        <w:rPr>
          <w:rFonts w:ascii="Arial" w:hAnsi="Arial" w:cs="Arial"/>
          <w:sz w:val="22"/>
          <w:szCs w:val="22"/>
        </w:rPr>
        <w:t xml:space="preserve">It is hypothesized that </w:t>
      </w:r>
      <w:r w:rsidRPr="0075030F">
        <w:rPr>
          <w:rFonts w:ascii="Arial" w:hAnsi="Arial" w:cs="Arial"/>
          <w:sz w:val="22"/>
          <w:szCs w:val="22"/>
        </w:rPr>
        <w:t>individuals with higher vascularity would show a shorter delay in switching between the two networks</w:t>
      </w:r>
      <w:r>
        <w:rPr>
          <w:rFonts w:ascii="Arial" w:hAnsi="Arial" w:cs="Arial"/>
          <w:sz w:val="22"/>
          <w:szCs w:val="22"/>
        </w:rPr>
        <w:t>.</w:t>
      </w:r>
    </w:p>
    <w:p w14:paraId="3C4762E6" w14:textId="77777777" w:rsidR="001C0B69" w:rsidRDefault="001C0B69"/>
    <w:sectPr w:rsidR="001C0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82FC5"/>
    <w:multiLevelType w:val="multilevel"/>
    <w:tmpl w:val="6908CB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27591"/>
    <w:multiLevelType w:val="hybridMultilevel"/>
    <w:tmpl w:val="C18249D6"/>
    <w:lvl w:ilvl="0" w:tplc="C860C33E">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7538895">
    <w:abstractNumId w:val="1"/>
  </w:num>
  <w:num w:numId="2" w16cid:durableId="1638878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8F"/>
    <w:rsid w:val="001C0B69"/>
    <w:rsid w:val="002C4CBF"/>
    <w:rsid w:val="00482E0D"/>
    <w:rsid w:val="007E393B"/>
    <w:rsid w:val="00BE3008"/>
    <w:rsid w:val="00E5328F"/>
    <w:rsid w:val="00F51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66D33"/>
  <w15:chartTrackingRefBased/>
  <w15:docId w15:val="{5884B2ED-5DFA-405F-8BC5-96307636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28F"/>
  </w:style>
  <w:style w:type="paragraph" w:styleId="Heading1">
    <w:name w:val="heading 1"/>
    <w:basedOn w:val="Normal"/>
    <w:next w:val="Normal"/>
    <w:link w:val="Heading1Char"/>
    <w:uiPriority w:val="9"/>
    <w:qFormat/>
    <w:rsid w:val="00E53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28F"/>
    <w:rPr>
      <w:rFonts w:eastAsiaTheme="majorEastAsia" w:cstheme="majorBidi"/>
      <w:color w:val="272727" w:themeColor="text1" w:themeTint="D8"/>
    </w:rPr>
  </w:style>
  <w:style w:type="paragraph" w:styleId="Title">
    <w:name w:val="Title"/>
    <w:basedOn w:val="Normal"/>
    <w:next w:val="Normal"/>
    <w:link w:val="TitleChar"/>
    <w:uiPriority w:val="10"/>
    <w:qFormat/>
    <w:rsid w:val="00E53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28F"/>
    <w:pPr>
      <w:spacing w:before="160"/>
      <w:jc w:val="center"/>
    </w:pPr>
    <w:rPr>
      <w:i/>
      <w:iCs/>
      <w:color w:val="404040" w:themeColor="text1" w:themeTint="BF"/>
    </w:rPr>
  </w:style>
  <w:style w:type="character" w:customStyle="1" w:styleId="QuoteChar">
    <w:name w:val="Quote Char"/>
    <w:basedOn w:val="DefaultParagraphFont"/>
    <w:link w:val="Quote"/>
    <w:uiPriority w:val="29"/>
    <w:rsid w:val="00E5328F"/>
    <w:rPr>
      <w:i/>
      <w:iCs/>
      <w:color w:val="404040" w:themeColor="text1" w:themeTint="BF"/>
    </w:rPr>
  </w:style>
  <w:style w:type="paragraph" w:styleId="ListParagraph">
    <w:name w:val="List Paragraph"/>
    <w:basedOn w:val="Normal"/>
    <w:uiPriority w:val="34"/>
    <w:qFormat/>
    <w:rsid w:val="00E5328F"/>
    <w:pPr>
      <w:ind w:left="720"/>
      <w:contextualSpacing/>
    </w:pPr>
  </w:style>
  <w:style w:type="character" w:styleId="IntenseEmphasis">
    <w:name w:val="Intense Emphasis"/>
    <w:basedOn w:val="DefaultParagraphFont"/>
    <w:uiPriority w:val="21"/>
    <w:qFormat/>
    <w:rsid w:val="00E5328F"/>
    <w:rPr>
      <w:i/>
      <w:iCs/>
      <w:color w:val="0F4761" w:themeColor="accent1" w:themeShade="BF"/>
    </w:rPr>
  </w:style>
  <w:style w:type="paragraph" w:styleId="IntenseQuote">
    <w:name w:val="Intense Quote"/>
    <w:basedOn w:val="Normal"/>
    <w:next w:val="Normal"/>
    <w:link w:val="IntenseQuoteChar"/>
    <w:uiPriority w:val="30"/>
    <w:qFormat/>
    <w:rsid w:val="00E53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28F"/>
    <w:rPr>
      <w:i/>
      <w:iCs/>
      <w:color w:val="0F4761" w:themeColor="accent1" w:themeShade="BF"/>
    </w:rPr>
  </w:style>
  <w:style w:type="character" w:styleId="IntenseReference">
    <w:name w:val="Intense Reference"/>
    <w:basedOn w:val="DefaultParagraphFont"/>
    <w:uiPriority w:val="32"/>
    <w:qFormat/>
    <w:rsid w:val="00E5328F"/>
    <w:rPr>
      <w:b/>
      <w:bCs/>
      <w:smallCaps/>
      <w:color w:val="0F4761" w:themeColor="accent1" w:themeShade="BF"/>
      <w:spacing w:val="5"/>
    </w:rPr>
  </w:style>
  <w:style w:type="character" w:styleId="Hyperlink">
    <w:name w:val="Hyperlink"/>
    <w:basedOn w:val="DefaultParagraphFont"/>
    <w:uiPriority w:val="99"/>
    <w:unhideWhenUsed/>
    <w:rsid w:val="00E5328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nrn730#Sec1" TargetMode="External"/><Relationship Id="rId13" Type="http://schemas.openxmlformats.org/officeDocument/2006/relationships/hyperlink" Target="https://pmc.ncbi.nlm.nih.gov/articles/PMC3174820/" TargetMode="External"/><Relationship Id="rId3" Type="http://schemas.openxmlformats.org/officeDocument/2006/relationships/settings" Target="settings.xml"/><Relationship Id="rId7" Type="http://schemas.openxmlformats.org/officeDocument/2006/relationships/hyperlink" Target="https://www.nature.com/articles/s41598-021-94797-y" TargetMode="External"/><Relationship Id="rId12" Type="http://schemas.openxmlformats.org/officeDocument/2006/relationships/hyperlink" Target="https://pmc.ncbi.nlm.nih.gov/articles/PMC41473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924977X10000684?via%3Dihub" TargetMode="External"/><Relationship Id="rId11" Type="http://schemas.openxmlformats.org/officeDocument/2006/relationships/hyperlink" Target="https://pmc.ncbi.nlm.nih.gov/articles/PMC2799958/" TargetMode="External"/><Relationship Id="rId5" Type="http://schemas.openxmlformats.org/officeDocument/2006/relationships/hyperlink" Target="https://pmc.ncbi.nlm.nih.gov/articles/PMC4883160/" TargetMode="External"/><Relationship Id="rId15" Type="http://schemas.openxmlformats.org/officeDocument/2006/relationships/theme" Target="theme/theme1.xml"/><Relationship Id="rId10" Type="http://schemas.openxmlformats.org/officeDocument/2006/relationships/hyperlink" Target="https://pmc.ncbi.nlm.nih.gov/articles/PMC2799958/" TargetMode="External"/><Relationship Id="rId4" Type="http://schemas.openxmlformats.org/officeDocument/2006/relationships/webSettings" Target="webSettings.xml"/><Relationship Id="rId9" Type="http://schemas.openxmlformats.org/officeDocument/2006/relationships/hyperlink" Target="https://pmc.ncbi.nlm.nih.gov/articles/PMC307371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580</Words>
  <Characters>3310</Characters>
  <Application>Microsoft Office Word</Application>
  <DocSecurity>0</DocSecurity>
  <Lines>27</Lines>
  <Paragraphs>7</Paragraphs>
  <ScaleCrop>false</ScaleCrop>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Alesia Budica</dc:creator>
  <cp:keywords/>
  <dc:description/>
  <cp:lastModifiedBy>Alesia Budica</cp:lastModifiedBy>
  <cp:revision>1</cp:revision>
  <dcterms:created xsi:type="dcterms:W3CDTF">2026-04-30T12:42:00Z</dcterms:created>
  <dcterms:modified xsi:type="dcterms:W3CDTF">2026-04-30T12:42:00Z</dcterms:modified>
</cp:coreProperties>
</file>