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3983" w14:textId="77777777" w:rsidR="00776921" w:rsidRPr="00C9044E" w:rsidRDefault="00000000">
      <w:pPr>
        <w:spacing w:before="240" w:after="80"/>
        <w:jc w:val="center"/>
        <w:rPr>
          <w:lang w:val="es-ES"/>
        </w:rPr>
      </w:pPr>
      <w:r w:rsidRPr="00C9044E">
        <w:rPr>
          <w:rFonts w:ascii="Arial" w:hAnsi="Arial"/>
          <w:b/>
          <w:color w:val="1B365D"/>
          <w:sz w:val="36"/>
          <w:lang w:val="es-ES"/>
        </w:rPr>
        <w:t>ESPECIFICACIÓN DE DISEÑO FUNCIONAL Y ARQUITECTURA DEL SISTEMA (FDS / SAS)</w:t>
      </w:r>
    </w:p>
    <w:p w14:paraId="41D1F89C" w14:textId="77777777" w:rsidR="00776921" w:rsidRPr="00C9044E" w:rsidRDefault="00000000">
      <w:pPr>
        <w:spacing w:after="480"/>
        <w:jc w:val="center"/>
        <w:rPr>
          <w:lang w:val="es-ES"/>
        </w:rPr>
      </w:pPr>
      <w:r w:rsidRPr="00C9044E">
        <w:rPr>
          <w:rFonts w:ascii="Arial" w:hAnsi="Arial"/>
          <w:i/>
          <w:color w:val="5C768D"/>
          <w:lang w:val="es-ES"/>
        </w:rPr>
        <w:t>Sistema Digital de Control e Inventario de Estupefacientes (Libro Diligenciado Digital)</w:t>
      </w:r>
      <w:r w:rsidRPr="00C9044E">
        <w:rPr>
          <w:rFonts w:ascii="Arial" w:hAnsi="Arial"/>
          <w:i/>
          <w:color w:val="5C768D"/>
          <w:lang w:val="es-ES"/>
        </w:rPr>
        <w:br/>
        <w:t xml:space="preserve">Arquitectura por Capas, Contenedores Docker, Seguridad </w:t>
      </w:r>
      <w:proofErr w:type="spellStart"/>
      <w:r w:rsidRPr="00C9044E">
        <w:rPr>
          <w:rFonts w:ascii="Arial" w:hAnsi="Arial"/>
          <w:i/>
          <w:color w:val="5C768D"/>
          <w:lang w:val="es-ES"/>
        </w:rPr>
        <w:t>GxP</w:t>
      </w:r>
      <w:proofErr w:type="spellEnd"/>
      <w:r w:rsidRPr="00C9044E">
        <w:rPr>
          <w:rFonts w:ascii="Arial" w:hAnsi="Arial"/>
          <w:i/>
          <w:color w:val="5C768D"/>
          <w:lang w:val="es-ES"/>
        </w:rPr>
        <w:t xml:space="preserve"> y Matriz de Trazabilidad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776921" w14:paraId="4EB2B6B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B3DFB" w14:textId="77777777" w:rsidR="00776921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sz w:val="19"/>
              </w:rPr>
              <w:t>Documento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ID: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5A0B3" w14:textId="77777777" w:rsidR="00776921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FDS-SAS-EST-002</w:t>
            </w:r>
          </w:p>
        </w:tc>
      </w:tr>
      <w:tr w:rsidR="00776921" w:rsidRPr="00C9044E" w14:paraId="0275EFE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7589A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Versión / Estado: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EDD8B" w14:textId="77777777" w:rsidR="00776921" w:rsidRPr="00C9044E" w:rsidRDefault="00000000">
            <w:pPr>
              <w:spacing w:after="40"/>
              <w:rPr>
                <w:lang w:val="es-ES"/>
              </w:rPr>
            </w:pPr>
            <w:r w:rsidRPr="00C9044E">
              <w:rPr>
                <w:rFonts w:ascii="Arial" w:hAnsi="Arial"/>
                <w:sz w:val="19"/>
                <w:lang w:val="es-ES"/>
              </w:rPr>
              <w:t>v1.0 (Borrador para Revisión de Calidad y Asuntos Reglamentarios)</w:t>
            </w:r>
          </w:p>
        </w:tc>
      </w:tr>
      <w:tr w:rsidR="00776921" w14:paraId="29155334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1DCB9" w14:textId="77777777" w:rsidR="00776921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sz w:val="19"/>
              </w:rPr>
              <w:t>Fecha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sz w:val="19"/>
              </w:rPr>
              <w:t>Emisión</w:t>
            </w:r>
            <w:proofErr w:type="spellEnd"/>
            <w:r>
              <w:rPr>
                <w:rFonts w:ascii="Arial" w:hAnsi="Arial"/>
                <w:b/>
                <w:sz w:val="19"/>
              </w:rPr>
              <w:t>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D4A39" w14:textId="77777777" w:rsidR="00776921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13 de Agosto de 2026</w:t>
            </w:r>
          </w:p>
        </w:tc>
      </w:tr>
      <w:tr w:rsidR="00776921" w:rsidRPr="00C9044E" w14:paraId="2EC9165B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5CB48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Documentos Referencia:</w:t>
            </w:r>
          </w:p>
        </w:tc>
        <w:tc>
          <w:tcPr>
            <w:tcW w:w="648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45761" w14:textId="77777777" w:rsidR="00776921" w:rsidRPr="00C9044E" w:rsidRDefault="00000000">
            <w:pPr>
              <w:spacing w:after="40"/>
              <w:rPr>
                <w:lang w:val="es-ES"/>
              </w:rPr>
            </w:pPr>
            <w:r w:rsidRPr="00C9044E">
              <w:rPr>
                <w:rFonts w:ascii="Arial" w:hAnsi="Arial"/>
                <w:sz w:val="19"/>
                <w:lang w:val="es-ES"/>
              </w:rPr>
              <w:t>URS-DIRA-EST-001 (Especificación de Requisitos de Usuario)</w:t>
            </w:r>
          </w:p>
        </w:tc>
      </w:tr>
    </w:tbl>
    <w:p w14:paraId="51EBBCCE" w14:textId="77777777" w:rsidR="00C9044E" w:rsidRDefault="00C9044E">
      <w:pPr>
        <w:keepNext/>
        <w:pBdr>
          <w:bottom w:val="single" w:sz="12" w:space="4" w:color="1B365D"/>
        </w:pBdr>
        <w:spacing w:before="360" w:after="160"/>
        <w:rPr>
          <w:rFonts w:ascii="Arial" w:hAnsi="Arial"/>
          <w:b/>
          <w:color w:val="1B365D"/>
          <w:sz w:val="32"/>
          <w:lang w:val="es-ES"/>
        </w:rPr>
      </w:pPr>
    </w:p>
    <w:p w14:paraId="7B45B305" w14:textId="2748AF6F" w:rsidR="00776921" w:rsidRPr="00C9044E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9044E">
        <w:rPr>
          <w:rFonts w:ascii="Arial" w:hAnsi="Arial"/>
          <w:b/>
          <w:color w:val="1B365D"/>
          <w:sz w:val="32"/>
          <w:lang w:val="es-ES"/>
        </w:rPr>
        <w:t>1. Introducción y Alcance de la Arquitectura</w:t>
      </w:r>
    </w:p>
    <w:p w14:paraId="34ED868D" w14:textId="30117CE0" w:rsidR="00C9044E" w:rsidRPr="00C9044E" w:rsidRDefault="00000000" w:rsidP="00C9044E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El presente documento establece la Especificación de Diseño Funcional y Arquitectura del Sistema (FDS / SAS) para el Libro Diligenciado Digital de Estupefacientes. Su propósito es definir la estructura lógica y física del software, sus límites de seguridad y la topología de red necesaria para dar cumplimiento estricto a las Especificaciones de Requisitos de Usuario (URS-DIRA-EST-001) y a la normativa sanitaria y técnica vigente (Real Decreto 1675/2012, Anexo 11 NCF/GMP y FDA 21 CFR Part 11).</w:t>
      </w:r>
    </w:p>
    <w:p w14:paraId="2D18E42E" w14:textId="77777777" w:rsidR="00C9044E" w:rsidRDefault="00C9044E">
      <w:pPr>
        <w:keepNext/>
        <w:pBdr>
          <w:bottom w:val="single" w:sz="12" w:space="4" w:color="1B365D"/>
        </w:pBdr>
        <w:spacing w:before="360" w:after="160"/>
        <w:rPr>
          <w:rFonts w:ascii="Arial" w:hAnsi="Arial"/>
          <w:b/>
          <w:color w:val="1B365D"/>
          <w:sz w:val="32"/>
          <w:lang w:val="es-ES"/>
        </w:rPr>
      </w:pPr>
    </w:p>
    <w:p w14:paraId="3ED2201D" w14:textId="77777777" w:rsidR="00C9044E" w:rsidRDefault="00C9044E">
      <w:pPr>
        <w:keepNext/>
        <w:pBdr>
          <w:bottom w:val="single" w:sz="12" w:space="4" w:color="1B365D"/>
        </w:pBdr>
        <w:spacing w:before="360" w:after="160"/>
        <w:rPr>
          <w:rFonts w:ascii="Arial" w:hAnsi="Arial"/>
          <w:b/>
          <w:color w:val="1B365D"/>
          <w:sz w:val="32"/>
          <w:lang w:val="es-ES"/>
        </w:rPr>
      </w:pPr>
    </w:p>
    <w:p w14:paraId="52252143" w14:textId="77777777" w:rsidR="00C9044E" w:rsidRDefault="00C9044E">
      <w:pPr>
        <w:keepNext/>
        <w:pBdr>
          <w:bottom w:val="single" w:sz="12" w:space="4" w:color="1B365D"/>
        </w:pBdr>
        <w:spacing w:before="360" w:after="160"/>
        <w:rPr>
          <w:rFonts w:ascii="Arial" w:hAnsi="Arial"/>
          <w:b/>
          <w:color w:val="1B365D"/>
          <w:sz w:val="32"/>
          <w:lang w:val="es-ES"/>
        </w:rPr>
      </w:pPr>
    </w:p>
    <w:p w14:paraId="44086C9A" w14:textId="3F78D569" w:rsidR="00776921" w:rsidRPr="00C9044E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9044E">
        <w:rPr>
          <w:rFonts w:ascii="Arial" w:hAnsi="Arial"/>
          <w:b/>
          <w:color w:val="1B365D"/>
          <w:sz w:val="32"/>
          <w:lang w:val="es-ES"/>
        </w:rPr>
        <w:t>2. Topología de Arquitectura e Infraestructura (C4 Nivel 2)</w:t>
      </w:r>
    </w:p>
    <w:p w14:paraId="123B163B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El sistema se diseña mediante una arquitectura distribuida por capas aisladas en contenedores mediante Docker, garantizando la separación de responsabilidades y la invulnerabilidad de la base de datos desde redes públicas o no autorizadas.</w:t>
      </w:r>
    </w:p>
    <w:p w14:paraId="6127C337" w14:textId="77777777" w:rsidR="00C9044E" w:rsidRDefault="00C9044E">
      <w:pPr>
        <w:pBdr>
          <w:left w:val="single" w:sz="18" w:space="8" w:color="1B365D"/>
        </w:pBdr>
        <w:spacing w:before="120" w:after="120" w:line="240" w:lineRule="auto"/>
        <w:rPr>
          <w:rFonts w:ascii="Courier New" w:hAnsi="Courier New"/>
          <w:color w:val="2D3748"/>
          <w:sz w:val="17"/>
          <w:lang w:val="es-ES"/>
        </w:rPr>
      </w:pPr>
    </w:p>
    <w:p w14:paraId="7D7A8A78" w14:textId="77777777" w:rsidR="00C9044E" w:rsidRDefault="00C9044E">
      <w:pPr>
        <w:pBdr>
          <w:left w:val="single" w:sz="18" w:space="8" w:color="1B365D"/>
        </w:pBdr>
        <w:spacing w:before="120" w:after="120" w:line="240" w:lineRule="auto"/>
        <w:rPr>
          <w:rFonts w:ascii="Courier New" w:hAnsi="Courier New"/>
          <w:color w:val="2D3748"/>
          <w:sz w:val="17"/>
          <w:lang w:val="es-ES"/>
        </w:rPr>
      </w:pPr>
    </w:p>
    <w:p w14:paraId="06E4DFB9" w14:textId="70581069" w:rsidR="00C9044E" w:rsidRDefault="00000000">
      <w:pPr>
        <w:pBdr>
          <w:left w:val="single" w:sz="18" w:space="8" w:color="1B365D"/>
        </w:pBdr>
        <w:spacing w:before="120" w:after="120" w:line="240" w:lineRule="auto"/>
        <w:rPr>
          <w:rFonts w:ascii="Courier New" w:hAnsi="Courier New"/>
          <w:color w:val="2D3748"/>
          <w:sz w:val="17"/>
          <w:lang w:val="es-ES"/>
        </w:rPr>
      </w:pPr>
      <w:r w:rsidRPr="00C9044E">
        <w:rPr>
          <w:rFonts w:ascii="Courier New" w:hAnsi="Courier New"/>
          <w:color w:val="2D3748"/>
          <w:sz w:val="17"/>
          <w:lang w:val="es-ES"/>
        </w:rPr>
        <w:t xml:space="preserve">                             </w:t>
      </w:r>
    </w:p>
    <w:p w14:paraId="7FD09771" w14:textId="4A99BC98" w:rsidR="00776921" w:rsidRPr="00C9044E" w:rsidRDefault="00000000">
      <w:pPr>
        <w:pBdr>
          <w:left w:val="single" w:sz="18" w:space="8" w:color="1B365D"/>
        </w:pBdr>
        <w:spacing w:before="120" w:after="120" w:line="240" w:lineRule="auto"/>
        <w:rPr>
          <w:lang w:val="es-ES"/>
        </w:rPr>
      </w:pPr>
      <w:r w:rsidRPr="00C9044E">
        <w:rPr>
          <w:rFonts w:ascii="Courier New" w:hAnsi="Courier New"/>
          <w:color w:val="2D3748"/>
          <w:sz w:val="17"/>
          <w:lang w:val="es-ES"/>
        </w:rPr>
        <w:lastRenderedPageBreak/>
        <w:t xml:space="preserve">   [ CLIENTE / NAVEGADOR WEB ]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        │ HTTPS (TLS 1.3 - Cifrado en Tránsito)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        ▼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┌──────────────────────────────────────────────────────────────────────────┐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REVERSE PROXY &amp; FIREWALL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(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Nginx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/ 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Traefik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- Puerto 443)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└────────────────────────────────────┬─────────────────────────────────────┘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Red Interna Docker (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Bridged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>)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▼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┌──────────────────────────────────────────────────────────────────────────┐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BACKEND API (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FastAPI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/ Python)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┌────────────────────────┐  ┌────────────────────┐  ┌─────────────────┐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│ Autenticación &amp; MFA    │  │ Lógica de Negocio  │  │ Servicio de     │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│ (OAuth2 / JWT + TOTP)  │  │ (Libro Diario/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GxP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>) │  │ Exportación PDF │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└────────────────────────┘  └────────────────────┘  └─────────────────┘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└────────────────────────────────────┬─────────────────────────────────────┘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Red Privada DB (Aislada - Sin puerto expuesto)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▼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┌──────────────────────────────────────────────────────────────────────────┐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MOTOR DE BASE DE DATOS (PostgreSQL 15+)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┌────────────────────────┐   ┌───────────────────────────────────────┐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│  │ Tablas Transaccionales │   │ 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Triggers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de Seguridad (Inmutabilidad) │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│  │ (Entradas/Salidas)     ├──►│ 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Automatic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</w:t>
      </w:r>
      <w:proofErr w:type="spellStart"/>
      <w:r w:rsidRPr="00C9044E">
        <w:rPr>
          <w:rFonts w:ascii="Courier New" w:hAnsi="Courier New"/>
          <w:color w:val="2D3748"/>
          <w:sz w:val="17"/>
          <w:lang w:val="es-ES"/>
        </w:rPr>
        <w:t>Append-Only</w:t>
      </w:r>
      <w:proofErr w:type="spellEnd"/>
      <w:r w:rsidRPr="00C9044E">
        <w:rPr>
          <w:rFonts w:ascii="Courier New" w:hAnsi="Courier New"/>
          <w:color w:val="2D3748"/>
          <w:sz w:val="17"/>
          <w:lang w:val="es-ES"/>
        </w:rPr>
        <w:t xml:space="preserve"> (Bloqueo UPDATE)│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└────────────────────────┘   └──────────────────┬────────────────────┘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                          │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                          ▼                     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        ┌──────────────────────────────────────┐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        │ Tabla de Audit Trail (Inalterable)   │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│                                └──────────────────────────────────────┘  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▲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     │ Sincronización Horaria NTP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┌────┴────┐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│ Servidor│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│ NTP Host│</w:t>
      </w:r>
      <w:r w:rsidRPr="00C9044E">
        <w:rPr>
          <w:rFonts w:ascii="Courier New" w:hAnsi="Courier New"/>
          <w:color w:val="2D3748"/>
          <w:sz w:val="17"/>
          <w:lang w:val="es-ES"/>
        </w:rPr>
        <w:br/>
        <w:t xml:space="preserve">                                └─────────┘</w:t>
      </w:r>
    </w:p>
    <w:p w14:paraId="0336DC4E" w14:textId="77777777" w:rsidR="00C9044E" w:rsidRDefault="00C9044E">
      <w:pPr>
        <w:keepNext/>
        <w:spacing w:before="280" w:after="120"/>
        <w:rPr>
          <w:rFonts w:ascii="Arial" w:hAnsi="Arial"/>
          <w:b/>
          <w:color w:val="5C768D"/>
          <w:sz w:val="26"/>
        </w:rPr>
      </w:pPr>
    </w:p>
    <w:p w14:paraId="004ECB3B" w14:textId="611F2763" w:rsidR="00776921" w:rsidRDefault="00000000">
      <w:pPr>
        <w:keepNext/>
        <w:spacing w:before="280" w:after="120"/>
      </w:pPr>
      <w:r>
        <w:rPr>
          <w:rFonts w:ascii="Arial" w:hAnsi="Arial"/>
          <w:b/>
          <w:color w:val="5C768D"/>
          <w:sz w:val="26"/>
        </w:rPr>
        <w:t xml:space="preserve">2.1 </w:t>
      </w:r>
      <w:proofErr w:type="spellStart"/>
      <w:r>
        <w:rPr>
          <w:rFonts w:ascii="Arial" w:hAnsi="Arial"/>
          <w:b/>
          <w:color w:val="5C768D"/>
          <w:sz w:val="26"/>
        </w:rPr>
        <w:t>Componentes</w:t>
      </w:r>
      <w:proofErr w:type="spellEnd"/>
      <w:r>
        <w:rPr>
          <w:rFonts w:ascii="Arial" w:hAnsi="Arial"/>
          <w:b/>
          <w:color w:val="5C768D"/>
          <w:sz w:val="26"/>
        </w:rPr>
        <w:t xml:space="preserve"> de la </w:t>
      </w:r>
      <w:proofErr w:type="spellStart"/>
      <w:r>
        <w:rPr>
          <w:rFonts w:ascii="Arial" w:hAnsi="Arial"/>
          <w:b/>
          <w:color w:val="5C768D"/>
          <w:sz w:val="26"/>
        </w:rPr>
        <w:t>Infraestructura</w:t>
      </w:r>
      <w:proofErr w:type="spellEnd"/>
    </w:p>
    <w:p w14:paraId="69D74F9A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>Capa de Presentación (</w:t>
      </w:r>
      <w:proofErr w:type="spellStart"/>
      <w:r w:rsidRPr="00C9044E">
        <w:rPr>
          <w:rFonts w:ascii="Arial" w:hAnsi="Arial"/>
          <w:b/>
          <w:color w:val="2D3748"/>
          <w:sz w:val="20"/>
          <w:lang w:val="es-ES"/>
        </w:rPr>
        <w:t>Frontend</w:t>
      </w:r>
      <w:proofErr w:type="spellEnd"/>
      <w:r w:rsidRPr="00C9044E">
        <w:rPr>
          <w:rFonts w:ascii="Arial" w:hAnsi="Arial"/>
          <w:b/>
          <w:color w:val="2D3748"/>
          <w:sz w:val="20"/>
          <w:lang w:val="es-ES"/>
        </w:rPr>
        <w:t xml:space="preserve">): </w:t>
      </w:r>
      <w:r w:rsidRPr="00C9044E">
        <w:rPr>
          <w:rFonts w:ascii="Arial" w:hAnsi="Arial"/>
          <w:color w:val="2D3748"/>
          <w:sz w:val="20"/>
          <w:lang w:val="es-ES"/>
        </w:rPr>
        <w:t xml:space="preserve">Interfaz SPA (Single Page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Application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) accesible exclusivamente desde terminales autorizados. No ejecuta lógica de negocio ni cálculos de saldo críticos.</w:t>
      </w:r>
    </w:p>
    <w:p w14:paraId="0415B77E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Reverse Proxy &amp; </w:t>
      </w:r>
      <w:proofErr w:type="spellStart"/>
      <w:r w:rsidRPr="00C9044E">
        <w:rPr>
          <w:rFonts w:ascii="Arial" w:hAnsi="Arial"/>
          <w:b/>
          <w:color w:val="2D3748"/>
          <w:sz w:val="20"/>
          <w:lang w:val="es-ES"/>
        </w:rPr>
        <w:t>Boundary</w:t>
      </w:r>
      <w:proofErr w:type="spellEnd"/>
      <w:r w:rsidRPr="00C9044E">
        <w:rPr>
          <w:rFonts w:ascii="Arial" w:hAnsi="Arial"/>
          <w:b/>
          <w:color w:val="2D3748"/>
          <w:sz w:val="20"/>
          <w:lang w:val="es-ES"/>
        </w:rPr>
        <w:t xml:space="preserve"> Security: </w:t>
      </w:r>
      <w:r w:rsidRPr="00C9044E">
        <w:rPr>
          <w:rFonts w:ascii="Arial" w:hAnsi="Arial"/>
          <w:color w:val="2D3748"/>
          <w:sz w:val="20"/>
          <w:lang w:val="es-ES"/>
        </w:rPr>
        <w:t>Servidor proxy inverso (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Nginx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) con terminación TLS 1.3, filtrado de peticiones, limitación de tasa (Rate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Limiting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) y ocultamiento de la estructura interna del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backend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.</w:t>
      </w:r>
    </w:p>
    <w:p w14:paraId="502D17E4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>Capa de Aplicación (</w:t>
      </w:r>
      <w:proofErr w:type="spellStart"/>
      <w:r w:rsidRPr="00C9044E">
        <w:rPr>
          <w:rFonts w:ascii="Arial" w:hAnsi="Arial"/>
          <w:b/>
          <w:color w:val="2D3748"/>
          <w:sz w:val="20"/>
          <w:lang w:val="es-ES"/>
        </w:rPr>
        <w:t>Backend</w:t>
      </w:r>
      <w:proofErr w:type="spellEnd"/>
      <w:r w:rsidRPr="00C9044E">
        <w:rPr>
          <w:rFonts w:ascii="Arial" w:hAnsi="Arial"/>
          <w:b/>
          <w:color w:val="2D3748"/>
          <w:sz w:val="20"/>
          <w:lang w:val="es-ES"/>
        </w:rPr>
        <w:t xml:space="preserve"> API): </w:t>
      </w:r>
      <w:r w:rsidRPr="00C9044E">
        <w:rPr>
          <w:rFonts w:ascii="Arial" w:hAnsi="Arial"/>
          <w:color w:val="2D3748"/>
          <w:sz w:val="20"/>
          <w:lang w:val="es-ES"/>
        </w:rPr>
        <w:t xml:space="preserve">Servicio desarrollado en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FastAPI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(Python). Implementa la lógica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GxP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, verificación de reglas de negocio, gestión de firma electrónica y orquestación de la generación de PDF/A.</w:t>
      </w:r>
    </w:p>
    <w:p w14:paraId="1A37534C" w14:textId="34A93553" w:rsidR="00C9044E" w:rsidRPr="00C9044E" w:rsidRDefault="00000000" w:rsidP="00C9044E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Capa de Persistencia e Integridad (BBDD): </w:t>
      </w:r>
      <w:r w:rsidRPr="00C9044E">
        <w:rPr>
          <w:rFonts w:ascii="Arial" w:hAnsi="Arial"/>
          <w:color w:val="2D3748"/>
          <w:sz w:val="20"/>
          <w:lang w:val="es-ES"/>
        </w:rPr>
        <w:t xml:space="preserve">Instancia PostgreSQL operando en una red virtual privada sin puerto mapeado hacia el exterior. Incorpora motores de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Triggers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PL/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pgSQL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que garantizan la inmutabilidad de registros y el Audit Trail autónomo.</w:t>
      </w:r>
    </w:p>
    <w:p w14:paraId="5E03BFF8" w14:textId="7E54E738" w:rsidR="00776921" w:rsidRPr="00C9044E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9044E">
        <w:rPr>
          <w:rFonts w:ascii="Arial" w:hAnsi="Arial"/>
          <w:b/>
          <w:color w:val="1B365D"/>
          <w:sz w:val="32"/>
          <w:lang w:val="es-ES"/>
        </w:rPr>
        <w:lastRenderedPageBreak/>
        <w:t xml:space="preserve">3. Especificación de Mecanismos de Seguridad y </w:t>
      </w:r>
      <w:proofErr w:type="spellStart"/>
      <w:r w:rsidRPr="00C9044E">
        <w:rPr>
          <w:rFonts w:ascii="Arial" w:hAnsi="Arial"/>
          <w:b/>
          <w:color w:val="1B365D"/>
          <w:sz w:val="32"/>
          <w:lang w:val="es-ES"/>
        </w:rPr>
        <w:t>GxP</w:t>
      </w:r>
      <w:proofErr w:type="spellEnd"/>
    </w:p>
    <w:p w14:paraId="50E8819B" w14:textId="77777777" w:rsidR="00776921" w:rsidRPr="00C9044E" w:rsidRDefault="00000000">
      <w:pPr>
        <w:keepNext/>
        <w:spacing w:before="280" w:after="120"/>
        <w:rPr>
          <w:lang w:val="es-ES"/>
        </w:rPr>
      </w:pPr>
      <w:r w:rsidRPr="00C9044E">
        <w:rPr>
          <w:rFonts w:ascii="Arial" w:hAnsi="Arial"/>
          <w:b/>
          <w:color w:val="5C768D"/>
          <w:sz w:val="26"/>
          <w:lang w:val="es-ES"/>
        </w:rPr>
        <w:t>3.1 Gestión de Identidad, Autenticación Fuerte y Firma Electrónica</w:t>
      </w:r>
    </w:p>
    <w:p w14:paraId="02C10276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El acceso al sistema se realiza mediante credenciales individuales asociadas a la matriz de roles RBAC (Role-Based Access Control). Conforme al Anexo 11 y FDA 21 CFR Part 11, se implementa una distinción estricta entre Inicio de Sesión y Firma de Transacción:</w:t>
      </w:r>
    </w:p>
    <w:p w14:paraId="4188129A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Inicio de Sesión (Login): </w:t>
      </w:r>
      <w:r w:rsidRPr="00C9044E">
        <w:rPr>
          <w:rFonts w:ascii="Arial" w:hAnsi="Arial"/>
          <w:color w:val="2D3748"/>
          <w:sz w:val="20"/>
          <w:lang w:val="es-ES"/>
        </w:rPr>
        <w:t xml:space="preserve">Requiere Usuario + Contraseña Fuerte + Código Temporal TOTP (Google/Microsoft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Authenticator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) para obtener un token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bearer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JWT de vida corta (30 minutos).</w:t>
      </w:r>
    </w:p>
    <w:p w14:paraId="1C3E7E75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Firma de Transacción (Re-Autenticación): </w:t>
      </w:r>
      <w:r w:rsidRPr="00C9044E">
        <w:rPr>
          <w:rFonts w:ascii="Arial" w:hAnsi="Arial"/>
          <w:color w:val="2D3748"/>
          <w:sz w:val="20"/>
          <w:lang w:val="es-ES"/>
        </w:rPr>
        <w:t xml:space="preserve">Cualquier registro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GxP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(Entrada, Salida, Ajuste) requiere un proceso de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Re-autenticación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obligatoria mediante la introducción de la clave personal y/o PIN en la ventana modal de confirmación, garantizando el principio de no repudio.</w:t>
      </w:r>
    </w:p>
    <w:p w14:paraId="24861730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>Cierre por Inactividad (</w:t>
      </w:r>
      <w:proofErr w:type="spellStart"/>
      <w:r w:rsidRPr="00C9044E">
        <w:rPr>
          <w:rFonts w:ascii="Arial" w:hAnsi="Arial"/>
          <w:b/>
          <w:color w:val="2D3748"/>
          <w:sz w:val="20"/>
          <w:lang w:val="es-ES"/>
        </w:rPr>
        <w:t>Timeout</w:t>
      </w:r>
      <w:proofErr w:type="spellEnd"/>
      <w:r w:rsidRPr="00C9044E">
        <w:rPr>
          <w:rFonts w:ascii="Arial" w:hAnsi="Arial"/>
          <w:b/>
          <w:color w:val="2D3748"/>
          <w:sz w:val="20"/>
          <w:lang w:val="es-ES"/>
        </w:rPr>
        <w:t xml:space="preserve">): </w:t>
      </w:r>
      <w:r w:rsidRPr="00C9044E">
        <w:rPr>
          <w:rFonts w:ascii="Arial" w:hAnsi="Arial"/>
          <w:color w:val="2D3748"/>
          <w:sz w:val="20"/>
          <w:lang w:val="es-ES"/>
        </w:rPr>
        <w:t>El cierre de sesión forzado por inactividad se ejecuta tras 3 minutos (180 segundos) de inactividad detectada en el cliente.</w:t>
      </w:r>
    </w:p>
    <w:p w14:paraId="47344742" w14:textId="77777777" w:rsidR="00776921" w:rsidRPr="00C9044E" w:rsidRDefault="00000000">
      <w:pPr>
        <w:keepNext/>
        <w:spacing w:before="280" w:after="120"/>
        <w:rPr>
          <w:lang w:val="es-ES"/>
        </w:rPr>
      </w:pPr>
      <w:r w:rsidRPr="00C9044E">
        <w:rPr>
          <w:rFonts w:ascii="Arial" w:hAnsi="Arial"/>
          <w:b/>
          <w:color w:val="5C768D"/>
          <w:sz w:val="26"/>
          <w:lang w:val="es-ES"/>
        </w:rPr>
        <w:t>3.2 Garantía de Inmutabilidad y Audit Trail a Nivel de BBDD</w:t>
      </w:r>
    </w:p>
    <w:p w14:paraId="3B9E7902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La integridad de los datos no se confía únicamente al código de la aplicación. Se establecen reglas duras a nivel del motor relacional PostgreSQL:</w:t>
      </w:r>
    </w:p>
    <w:p w14:paraId="499506E3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Patrón </w:t>
      </w:r>
      <w:proofErr w:type="spellStart"/>
      <w:r w:rsidRPr="00C9044E">
        <w:rPr>
          <w:rFonts w:ascii="Arial" w:hAnsi="Arial"/>
          <w:b/>
          <w:color w:val="2D3748"/>
          <w:sz w:val="20"/>
          <w:lang w:val="es-ES"/>
        </w:rPr>
        <w:t>Append-Only</w:t>
      </w:r>
      <w:proofErr w:type="spellEnd"/>
      <w:r w:rsidRPr="00C9044E">
        <w:rPr>
          <w:rFonts w:ascii="Arial" w:hAnsi="Arial"/>
          <w:b/>
          <w:color w:val="2D3748"/>
          <w:sz w:val="20"/>
          <w:lang w:val="es-ES"/>
        </w:rPr>
        <w:t xml:space="preserve">: </w:t>
      </w:r>
      <w:r w:rsidRPr="00C9044E">
        <w:rPr>
          <w:rFonts w:ascii="Arial" w:hAnsi="Arial"/>
          <w:color w:val="2D3748"/>
          <w:sz w:val="20"/>
          <w:lang w:val="es-ES"/>
        </w:rPr>
        <w:t xml:space="preserve">Se deshabilitan o bloquean mediante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Triggers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las sentencias `UPDATE` y `DELETE` sobre las tablas `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movimientos_estupefacientes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` y `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audit_trail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`. Las correcciones de errores se ejecutan obligatoriamente mediante un registro de anulación (*Storno*) o apunte corrector negativo de igual valor.</w:t>
      </w:r>
    </w:p>
    <w:p w14:paraId="7535FF0A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Audit Trail Autónomo: </w:t>
      </w:r>
      <w:r w:rsidRPr="00C9044E">
        <w:rPr>
          <w:rFonts w:ascii="Arial" w:hAnsi="Arial"/>
          <w:color w:val="2D3748"/>
          <w:sz w:val="20"/>
          <w:lang w:val="es-ES"/>
        </w:rPr>
        <w:t>Cualquier inserción desencadena la ejecución automática e inmediata de un Trigger PL/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pgSQL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que escribe en `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audit_trail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` los metadatos completos: ID de transacción, ID de usuario, IP de origen,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Timestamp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oficial, tipo de operación, valor anterior y nuevo.</w:t>
      </w:r>
    </w:p>
    <w:p w14:paraId="338614E6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Sincronización NTP Centralizada: </w:t>
      </w:r>
      <w:r w:rsidRPr="00C9044E">
        <w:rPr>
          <w:rFonts w:ascii="Arial" w:hAnsi="Arial"/>
          <w:color w:val="2D3748"/>
          <w:sz w:val="20"/>
          <w:lang w:val="es-ES"/>
        </w:rPr>
        <w:t>Se ignora la fecha/hora reportada por el dispositivo cliente. Todos los registros y trazas de auditoría obtienen la estampa de tiempo directamente de la función `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now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>()` de la base de datos, sincronizada con el servicio NTP centralizado del host.</w:t>
      </w:r>
    </w:p>
    <w:p w14:paraId="39DC958B" w14:textId="77777777" w:rsidR="00776921" w:rsidRPr="00C9044E" w:rsidRDefault="00000000">
      <w:pPr>
        <w:keepNext/>
        <w:spacing w:before="280" w:after="120"/>
        <w:rPr>
          <w:lang w:val="es-ES"/>
        </w:rPr>
      </w:pPr>
      <w:r w:rsidRPr="00C9044E">
        <w:rPr>
          <w:rFonts w:ascii="Arial" w:hAnsi="Arial"/>
          <w:b/>
          <w:color w:val="5C768D"/>
          <w:sz w:val="26"/>
          <w:lang w:val="es-ES"/>
        </w:rPr>
        <w:t>3.3 Principio de Doble Check (</w:t>
      </w:r>
      <w:proofErr w:type="spellStart"/>
      <w:r w:rsidRPr="00C9044E">
        <w:rPr>
          <w:rFonts w:ascii="Arial" w:hAnsi="Arial"/>
          <w:b/>
          <w:color w:val="5C768D"/>
          <w:sz w:val="26"/>
          <w:lang w:val="es-ES"/>
        </w:rPr>
        <w:t>Four-Eyes</w:t>
      </w:r>
      <w:proofErr w:type="spellEnd"/>
      <w:r w:rsidRPr="00C9044E">
        <w:rPr>
          <w:rFonts w:ascii="Arial" w:hAnsi="Arial"/>
          <w:b/>
          <w:color w:val="5C768D"/>
          <w:sz w:val="26"/>
          <w:lang w:val="es-ES"/>
        </w:rPr>
        <w:t xml:space="preserve"> </w:t>
      </w:r>
      <w:proofErr w:type="spellStart"/>
      <w:r w:rsidRPr="00C9044E">
        <w:rPr>
          <w:rFonts w:ascii="Arial" w:hAnsi="Arial"/>
          <w:b/>
          <w:color w:val="5C768D"/>
          <w:sz w:val="26"/>
          <w:lang w:val="es-ES"/>
        </w:rPr>
        <w:t>Principle</w:t>
      </w:r>
      <w:proofErr w:type="spellEnd"/>
      <w:r w:rsidRPr="00C9044E">
        <w:rPr>
          <w:rFonts w:ascii="Arial" w:hAnsi="Arial"/>
          <w:b/>
          <w:color w:val="5C768D"/>
          <w:sz w:val="26"/>
          <w:lang w:val="es-ES"/>
        </w:rPr>
        <w:t>) para Ajustes y Mermas</w:t>
      </w:r>
    </w:p>
    <w:p w14:paraId="5E61D51A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Para la mitigación de los riesgos identificados en el documento DIRA (RISK-05), los ajustes de inventario por mermas, roturas o devoluciones requieren un flujo de aprobación de dos pasos:</w:t>
      </w:r>
    </w:p>
    <w:p w14:paraId="6A393DF4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Paso 1 (Solicitud): </w:t>
      </w:r>
      <w:r w:rsidRPr="00C9044E">
        <w:rPr>
          <w:rFonts w:ascii="Arial" w:hAnsi="Arial"/>
          <w:color w:val="2D3748"/>
          <w:sz w:val="20"/>
          <w:lang w:val="es-ES"/>
        </w:rPr>
        <w:t>El Operador/Farmacéutico inicializa la solicitud de ajuste seleccionando la causa justificada.</w:t>
      </w:r>
    </w:p>
    <w:p w14:paraId="310AAEFB" w14:textId="77777777" w:rsidR="00776921" w:rsidRPr="00C9044E" w:rsidRDefault="00000000">
      <w:pPr>
        <w:pStyle w:val="Listaconvietas"/>
        <w:spacing w:after="80"/>
        <w:rPr>
          <w:lang w:val="es-ES"/>
        </w:rPr>
      </w:pPr>
      <w:r w:rsidRPr="00C9044E">
        <w:rPr>
          <w:rFonts w:ascii="Arial" w:hAnsi="Arial"/>
          <w:b/>
          <w:color w:val="2D3748"/>
          <w:sz w:val="20"/>
          <w:lang w:val="es-ES"/>
        </w:rPr>
        <w:t xml:space="preserve">Paso 2 (Aprobación): </w:t>
      </w:r>
      <w:r w:rsidRPr="00C9044E">
        <w:rPr>
          <w:rFonts w:ascii="Arial" w:hAnsi="Arial"/>
          <w:color w:val="2D3748"/>
          <w:sz w:val="20"/>
          <w:lang w:val="es-ES"/>
        </w:rPr>
        <w:t xml:space="preserve">La transacción permanece en estado 'Pendiente' hasta que un segundo usuario con rol de Director Técnico / Responsable de Calidad firma digitalmente mediante </w:t>
      </w:r>
      <w:proofErr w:type="spellStart"/>
      <w:r w:rsidRPr="00C9044E">
        <w:rPr>
          <w:rFonts w:ascii="Arial" w:hAnsi="Arial"/>
          <w:color w:val="2D3748"/>
          <w:sz w:val="20"/>
          <w:lang w:val="es-ES"/>
        </w:rPr>
        <w:t>re-autenticación</w:t>
      </w:r>
      <w:proofErr w:type="spellEnd"/>
      <w:r w:rsidRPr="00C9044E">
        <w:rPr>
          <w:rFonts w:ascii="Arial" w:hAnsi="Arial"/>
          <w:color w:val="2D3748"/>
          <w:sz w:val="20"/>
          <w:lang w:val="es-ES"/>
        </w:rPr>
        <w:t xml:space="preserve"> la aprobación del ajuste, momento en que el saldo se actualiza y la transacción se consolida en el libro.</w:t>
      </w:r>
    </w:p>
    <w:p w14:paraId="01E797E6" w14:textId="77777777" w:rsidR="00776921" w:rsidRPr="00C9044E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9044E">
        <w:rPr>
          <w:rFonts w:ascii="Arial" w:hAnsi="Arial"/>
          <w:b/>
          <w:color w:val="1B365D"/>
          <w:sz w:val="32"/>
          <w:lang w:val="es-ES"/>
        </w:rPr>
        <w:t>4. Matriz de Trazabilidad Funcional (URS vs. FDS)</w:t>
      </w:r>
    </w:p>
    <w:p w14:paraId="2CBAF553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La siguiente matriz demuestra la cobertura total de los Requisitos de Usuario (URS) mediante los componentes de diseño funcional y arquitectónico establecidos: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84"/>
        <w:gridCol w:w="2016"/>
        <w:gridCol w:w="2880"/>
        <w:gridCol w:w="2880"/>
      </w:tblGrid>
      <w:tr w:rsidR="00776921" w14:paraId="23CE5087" w14:textId="77777777">
        <w:trPr>
          <w:jc w:val="center"/>
        </w:trPr>
        <w:tc>
          <w:tcPr>
            <w:tcW w:w="158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622F6C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lastRenderedPageBreak/>
              <w:t>ID URS</w:t>
            </w:r>
          </w:p>
        </w:tc>
        <w:tc>
          <w:tcPr>
            <w:tcW w:w="2016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0C20A8B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Requisito de Usuario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F1B34D6" w14:textId="77777777" w:rsidR="00776921" w:rsidRPr="00C9044E" w:rsidRDefault="00000000">
            <w:pPr>
              <w:spacing w:after="40"/>
              <w:rPr>
                <w:lang w:val="es-ES"/>
              </w:rPr>
            </w:pPr>
            <w:r w:rsidRPr="00C9044E">
              <w:rPr>
                <w:rFonts w:ascii="Arial" w:hAnsi="Arial"/>
                <w:b/>
                <w:color w:val="FFFFFF"/>
                <w:sz w:val="17"/>
                <w:lang w:val="es-ES"/>
              </w:rPr>
              <w:t>Componente de Arquitectura / Módulo FDS</w:t>
            </w:r>
          </w:p>
        </w:tc>
        <w:tc>
          <w:tcPr>
            <w:tcW w:w="288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C6D460" w14:textId="77777777" w:rsidR="00776921" w:rsidRDefault="00000000">
            <w:pPr>
              <w:spacing w:after="40"/>
            </w:pP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Mecanismo</w:t>
            </w:r>
            <w:proofErr w:type="spellEnd"/>
            <w:r>
              <w:rPr>
                <w:rFonts w:ascii="Arial" w:hAnsi="Arial"/>
                <w:b/>
                <w:color w:val="FFFFFF"/>
                <w:sz w:val="17"/>
              </w:rPr>
              <w:t xml:space="preserve"> Técnico de </w:t>
            </w:r>
            <w:proofErr w:type="spellStart"/>
            <w:r>
              <w:rPr>
                <w:rFonts w:ascii="Arial" w:hAnsi="Arial"/>
                <w:b/>
                <w:color w:val="FFFFFF"/>
                <w:sz w:val="17"/>
              </w:rPr>
              <w:t>Cobertura</w:t>
            </w:r>
            <w:proofErr w:type="spellEnd"/>
          </w:p>
        </w:tc>
      </w:tr>
      <w:tr w:rsidR="00776921" w:rsidRPr="00C9044E" w14:paraId="1A82478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F402DD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URS-FUNC-01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1EBE7C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Registro de Entradas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7E91F5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Backend API / Módulo Ledger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B24808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Endpoint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POST /api/v1/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ledger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>/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entry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con firma electrónica obligatoria y cálculo de lote.</w:t>
            </w:r>
          </w:p>
        </w:tc>
      </w:tr>
      <w:tr w:rsidR="00776921" w:rsidRPr="00C9044E" w14:paraId="5BBB8737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FFD49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URS-FUNC-02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8BCC64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Registro de Salidas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2D1E3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Backend API / Módulo Ledger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ED6154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Endpoint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POST /api/v1/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ledger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>/dispense con asociación de receta/prescriptor y comprobación de saldo.</w:t>
            </w:r>
          </w:p>
        </w:tc>
      </w:tr>
      <w:tr w:rsidR="00776921" w:rsidRPr="00C9044E" w14:paraId="18F13EE0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3F2F8F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URS-FUNC-03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104DF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Cálculo Dinámico de Saldo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8C3F2B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PostgreSQL / Funciones ACID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603C2C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Cálculo de saldo en transacción atómica (Saldo = Suma Entradas - Suma Salidas).</w:t>
            </w:r>
          </w:p>
        </w:tc>
      </w:tr>
      <w:tr w:rsidR="00776921" w:rsidRPr="00C9044E" w14:paraId="1A6137EE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05D78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URS-FUNC-04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29A90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Ajustes y Mermas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45ABA2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Workflow de Doble Check (Four-Eyes)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D653FF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Estado intermedio PENDING_APPROVAL exigiendo firmas cruzadas de dos roles distintos.</w:t>
            </w:r>
          </w:p>
        </w:tc>
      </w:tr>
      <w:tr w:rsidR="00776921" w:rsidRPr="00C9044E" w14:paraId="0F6B7A64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AB5438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URS-FUNC-05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CAA902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Cierre y Declaración Anual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C2823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Módulo Reporting PDF / SICECA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09BB84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Generador de informe congelado anual estructurado conforme a plantilla AEMPS.</w:t>
            </w:r>
          </w:p>
        </w:tc>
      </w:tr>
      <w:tr w:rsidR="00776921" w:rsidRPr="00C9044E" w14:paraId="07CFEFEB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431417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URS-SEC-01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666DF5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Autenticación Fuerte (MFA)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94FAF0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Módulo Auth / JWT + TOTP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6BA619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 xml:space="preserve">Validación OAuth2 con token de corta vida y 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re-autenticación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obligatoria previa a la firma.</w:t>
            </w:r>
          </w:p>
        </w:tc>
      </w:tr>
      <w:tr w:rsidR="00776921" w:rsidRPr="00C9044E" w14:paraId="16C16A44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33ADE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URS-SEC-02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A2BB0E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Matriz de Roles (RBAC)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9EEB68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Middleware de Seguridad FastAPI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DDBDA6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 xml:space="preserve">Decoradores de ruta `@has_role(['FARMACEUTICO', 'CALIDAD'])` en 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endpoints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GxP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>.</w:t>
            </w:r>
          </w:p>
        </w:tc>
      </w:tr>
      <w:tr w:rsidR="00776921" w:rsidRPr="00C9044E" w14:paraId="194CBE6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1667D5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URS-SEC-03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79A018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Cierre por Inactividad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39D697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Frontend Session Handler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EA0EF5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Timer de inactividad a 180s con invalidación de token JWT en cliente y servidor.</w:t>
            </w:r>
          </w:p>
        </w:tc>
      </w:tr>
      <w:tr w:rsidR="00776921" w14:paraId="20171B9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301589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URS-DAT-01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B6E62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Inmutabilidad de Registros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A79D7C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Database Engine / Triggers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5196E8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Trigger PostgreSQL BEFORE UPDATE OR DELETE RAISE EXCEPTION 'Operación no permitida'.</w:t>
            </w:r>
          </w:p>
        </w:tc>
      </w:tr>
      <w:tr w:rsidR="00776921" w:rsidRPr="00C9044E" w14:paraId="0CADED5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8A83D7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URS-DAT-02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F09EFB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Audit Trail Automático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0FCECA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Database Engine / Audit Triggers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7CD96C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 xml:space="preserve">Trigger AFTER INSERT en tablas 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GxP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que escribe automáticamente en la tabla </w:t>
            </w: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audit_trail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>.</w:t>
            </w:r>
          </w:p>
        </w:tc>
      </w:tr>
      <w:tr w:rsidR="00776921" w:rsidRPr="00C9044E" w14:paraId="4570A8E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77B645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URS-DAT-03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98325C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Consulta Audit Trail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D0BD39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Módulo Auditoría / Frontend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F830B0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Vista de lectura filtrable por fecha, usuario y lote, sin capacidad de edición.</w:t>
            </w:r>
          </w:p>
        </w:tc>
      </w:tr>
      <w:tr w:rsidR="00776921" w:rsidRPr="00C9044E" w14:paraId="6ACE235B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0B8A85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URS-DAT-04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CDCE6E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Sincronización Horaria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75420E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NTP Sync / DB Function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73E2BD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proofErr w:type="spellStart"/>
            <w:r w:rsidRPr="00C9044E">
              <w:rPr>
                <w:rFonts w:ascii="Arial" w:hAnsi="Arial"/>
                <w:sz w:val="16"/>
                <w:lang w:val="es-ES"/>
              </w:rPr>
              <w:t>Timestamps</w:t>
            </w:r>
            <w:proofErr w:type="spellEnd"/>
            <w:r w:rsidRPr="00C9044E">
              <w:rPr>
                <w:rFonts w:ascii="Arial" w:hAnsi="Arial"/>
                <w:sz w:val="16"/>
                <w:lang w:val="es-ES"/>
              </w:rPr>
              <w:t xml:space="preserve"> generados con `CURRENT_TIMESTAMP` asignados por el servidor PostgreSQL NTP.</w:t>
            </w:r>
          </w:p>
        </w:tc>
      </w:tr>
      <w:tr w:rsidR="00776921" w14:paraId="06C632B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2F4AD4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URS-TEC-01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5668BB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Copias de Seguridad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FC8CE0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Docker / PostgreSQL WAL Backup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B54288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Script cron de backup diario cifrado pg_dump + archivos WAL para Recovery Point de 5 min.</w:t>
            </w:r>
          </w:p>
        </w:tc>
      </w:tr>
      <w:tr w:rsidR="00776921" w:rsidRPr="00C9044E" w14:paraId="1F88F7E9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9537E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URS-TEC-02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8E0301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Exportación No Modificable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15FF12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Reporting Engine / PDF/A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E76135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>Generación de documentos PDF/A-1b con firma digital de servidor y sellado de tiempo.</w:t>
            </w:r>
          </w:p>
        </w:tc>
      </w:tr>
      <w:tr w:rsidR="00776921" w:rsidRPr="00C9044E" w14:paraId="33319F6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49B6E53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b/>
                <w:sz w:val="16"/>
              </w:rPr>
              <w:t>URS-TEC-03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E44756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Modo Contingencia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5917846" w14:textId="77777777" w:rsidR="00776921" w:rsidRDefault="00000000">
            <w:pPr>
              <w:spacing w:after="40" w:line="264" w:lineRule="auto"/>
            </w:pPr>
            <w:r>
              <w:rPr>
                <w:rFonts w:ascii="Arial" w:hAnsi="Arial"/>
                <w:sz w:val="16"/>
              </w:rPr>
              <w:t>Procedimiento SOP-CONT-01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BFDA97" w14:textId="77777777" w:rsidR="00776921" w:rsidRPr="00C9044E" w:rsidRDefault="00000000">
            <w:pPr>
              <w:spacing w:after="40" w:line="264" w:lineRule="auto"/>
              <w:rPr>
                <w:lang w:val="es-ES"/>
              </w:rPr>
            </w:pPr>
            <w:r w:rsidRPr="00C9044E">
              <w:rPr>
                <w:rFonts w:ascii="Arial" w:hAnsi="Arial"/>
                <w:sz w:val="16"/>
                <w:lang w:val="es-ES"/>
              </w:rPr>
              <w:t xml:space="preserve">SOP procedimental para registro manual y módulo de sincronización </w:t>
            </w:r>
            <w:r w:rsidRPr="00C9044E">
              <w:rPr>
                <w:rFonts w:ascii="Arial" w:hAnsi="Arial"/>
                <w:sz w:val="16"/>
                <w:lang w:val="es-ES"/>
              </w:rPr>
              <w:lastRenderedPageBreak/>
              <w:t>diferida con marca 'Contingencia'.</w:t>
            </w:r>
          </w:p>
        </w:tc>
      </w:tr>
    </w:tbl>
    <w:p w14:paraId="11BE313B" w14:textId="77777777" w:rsidR="00776921" w:rsidRPr="00C9044E" w:rsidRDefault="00776921">
      <w:pPr>
        <w:spacing w:after="240"/>
        <w:rPr>
          <w:lang w:val="es-ES"/>
        </w:rPr>
      </w:pPr>
    </w:p>
    <w:p w14:paraId="487357FC" w14:textId="77777777" w:rsidR="00776921" w:rsidRPr="00C9044E" w:rsidRDefault="00000000">
      <w:pPr>
        <w:keepNext/>
        <w:pBdr>
          <w:bottom w:val="single" w:sz="12" w:space="4" w:color="1B365D"/>
        </w:pBdr>
        <w:spacing w:before="360" w:after="160"/>
        <w:rPr>
          <w:lang w:val="es-ES"/>
        </w:rPr>
      </w:pPr>
      <w:r w:rsidRPr="00C9044E">
        <w:rPr>
          <w:rFonts w:ascii="Arial" w:hAnsi="Arial"/>
          <w:b/>
          <w:color w:val="1B365D"/>
          <w:sz w:val="32"/>
          <w:lang w:val="es-ES"/>
        </w:rPr>
        <w:t>5. Aprobación y Control de Cambios de la Arquitectura</w:t>
      </w:r>
    </w:p>
    <w:p w14:paraId="0C033731" w14:textId="77777777" w:rsidR="00776921" w:rsidRPr="00C9044E" w:rsidRDefault="00000000">
      <w:pPr>
        <w:spacing w:after="120"/>
        <w:rPr>
          <w:lang w:val="es-ES"/>
        </w:rPr>
      </w:pPr>
      <w:r w:rsidRPr="00C9044E">
        <w:rPr>
          <w:rFonts w:ascii="Arial" w:hAnsi="Arial"/>
          <w:color w:val="2D3748"/>
          <w:sz w:val="20"/>
          <w:lang w:val="es-ES"/>
        </w:rPr>
        <w:t>La firma del presente documento FDS/SAS certifica que la arquitectura técnica propuesta satisface en su totalidad los requisitos funcionales y de seguridad exigidos para la gestión de estupefacientes. Tras la firma, se procederá al diseño técnico de detalle de base de datos y código (TDS).</w:t>
      </w:r>
    </w:p>
    <w:p w14:paraId="726901B4" w14:textId="77777777" w:rsidR="00776921" w:rsidRPr="00C9044E" w:rsidRDefault="00776921">
      <w:pPr>
        <w:spacing w:after="360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CBD5E1"/>
          <w:bottom w:val="single" w:sz="6" w:space="0" w:color="1B365D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3168"/>
        <w:gridCol w:w="3024"/>
      </w:tblGrid>
      <w:tr w:rsidR="00776921" w14:paraId="37EC180C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734B5B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Rol /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  <w:proofErr w:type="spellEnd"/>
          </w:p>
        </w:tc>
        <w:tc>
          <w:tcPr>
            <w:tcW w:w="3168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1EAA5C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Nombre y Cargo</w:t>
            </w:r>
          </w:p>
        </w:tc>
        <w:tc>
          <w:tcPr>
            <w:tcW w:w="30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7A967D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Firma y Fecha</w:t>
            </w:r>
          </w:p>
        </w:tc>
      </w:tr>
      <w:tr w:rsidR="00776921" w14:paraId="74077D6E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6347A4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Redactado por (Arquitectura / Técnico):</w:t>
            </w:r>
          </w:p>
        </w:tc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6C06321" w14:textId="5A6F82D3" w:rsidR="00776921" w:rsidRDefault="00000000">
            <w:pPr>
              <w:spacing w:after="40"/>
            </w:pPr>
            <w:r>
              <w:rPr>
                <w:rFonts w:ascii="Arial" w:hAnsi="Arial"/>
                <w:sz w:val="17"/>
              </w:rPr>
              <w:br/>
              <w:t>Desarrollador / Técnico GxP</w:t>
            </w:r>
          </w:p>
        </w:tc>
        <w:tc>
          <w:tcPr>
            <w:tcW w:w="3024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DA7A8E8" w14:textId="77777777" w:rsidR="00776921" w:rsidRDefault="00000000">
            <w:pPr>
              <w:spacing w:after="40"/>
            </w:pP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sz w:val="17"/>
              </w:rPr>
              <w:br/>
              <w:t>Fecha: ____/____/2026</w:t>
            </w:r>
          </w:p>
        </w:tc>
      </w:tr>
      <w:tr w:rsidR="00776921" w14:paraId="08E6FF89" w14:textId="77777777">
        <w:trPr>
          <w:jc w:val="center"/>
        </w:trPr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E63EB28" w14:textId="77777777" w:rsidR="00776921" w:rsidRDefault="00000000"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Aprobado por (Calidad / Reglamentarios):</w:t>
            </w:r>
          </w:p>
        </w:tc>
        <w:tc>
          <w:tcPr>
            <w:tcW w:w="3168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4143A9" w14:textId="77777777" w:rsidR="00776921" w:rsidRPr="00C9044E" w:rsidRDefault="00000000">
            <w:pPr>
              <w:spacing w:after="40"/>
              <w:rPr>
                <w:lang w:val="es-ES"/>
              </w:rPr>
            </w:pPr>
            <w:r w:rsidRPr="00C9044E">
              <w:rPr>
                <w:rFonts w:ascii="Arial" w:hAnsi="Arial"/>
                <w:sz w:val="17"/>
                <w:lang w:val="es-ES"/>
              </w:rPr>
              <w:br/>
              <w:t>Responsable de Calidad y Asuntos Reglamentarios</w:t>
            </w:r>
          </w:p>
        </w:tc>
        <w:tc>
          <w:tcPr>
            <w:tcW w:w="3024" w:type="dxa"/>
            <w:shd w:val="clear" w:color="auto" w:fill="FAFAF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4CD73F9" w14:textId="77777777" w:rsidR="00776921" w:rsidRDefault="00000000">
            <w:pPr>
              <w:spacing w:after="40"/>
            </w:pPr>
            <w:r w:rsidRPr="00C9044E">
              <w:rPr>
                <w:rFonts w:ascii="Arial" w:hAnsi="Arial"/>
                <w:sz w:val="17"/>
                <w:lang w:val="es-ES"/>
              </w:rPr>
              <w:br/>
            </w:r>
            <w:r w:rsidRPr="00C9044E">
              <w:rPr>
                <w:rFonts w:ascii="Arial" w:hAnsi="Arial"/>
                <w:sz w:val="17"/>
                <w:lang w:val="es-ES"/>
              </w:rPr>
              <w:br/>
            </w:r>
            <w:proofErr w:type="spellStart"/>
            <w:r>
              <w:rPr>
                <w:rFonts w:ascii="Arial" w:hAnsi="Arial"/>
                <w:sz w:val="17"/>
              </w:rPr>
              <w:t>Fecha</w:t>
            </w:r>
            <w:proofErr w:type="spellEnd"/>
            <w:r>
              <w:rPr>
                <w:rFonts w:ascii="Arial" w:hAnsi="Arial"/>
                <w:sz w:val="17"/>
              </w:rPr>
              <w:t>: ____/____/2026</w:t>
            </w:r>
          </w:p>
        </w:tc>
      </w:tr>
    </w:tbl>
    <w:p w14:paraId="20E5E9C9" w14:textId="77777777" w:rsidR="006E54AE" w:rsidRDefault="006E54AE"/>
    <w:sectPr w:rsidR="006E54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217426">
    <w:abstractNumId w:val="8"/>
  </w:num>
  <w:num w:numId="2" w16cid:durableId="1441531960">
    <w:abstractNumId w:val="6"/>
  </w:num>
  <w:num w:numId="3" w16cid:durableId="922035214">
    <w:abstractNumId w:val="5"/>
  </w:num>
  <w:num w:numId="4" w16cid:durableId="1783721223">
    <w:abstractNumId w:val="4"/>
  </w:num>
  <w:num w:numId="5" w16cid:durableId="1108427069">
    <w:abstractNumId w:val="7"/>
  </w:num>
  <w:num w:numId="6" w16cid:durableId="704254149">
    <w:abstractNumId w:val="3"/>
  </w:num>
  <w:num w:numId="7" w16cid:durableId="447161470">
    <w:abstractNumId w:val="2"/>
  </w:num>
  <w:num w:numId="8" w16cid:durableId="822744319">
    <w:abstractNumId w:val="1"/>
  </w:num>
  <w:num w:numId="9" w16cid:durableId="111394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4AE"/>
    <w:rsid w:val="00776921"/>
    <w:rsid w:val="008F6966"/>
    <w:rsid w:val="00AA1D8D"/>
    <w:rsid w:val="00B47730"/>
    <w:rsid w:val="00C904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BA7F5"/>
  <w14:defaultImageDpi w14:val="300"/>
  <w15:docId w15:val="{5CA78E7B-E101-4D18-B8B9-1D5DA2FB4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1659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García Mereu</cp:lastModifiedBy>
  <cp:revision>3</cp:revision>
  <dcterms:created xsi:type="dcterms:W3CDTF">2013-12-23T23:15:00Z</dcterms:created>
  <dcterms:modified xsi:type="dcterms:W3CDTF">2026-08-13T10:11:00Z</dcterms:modified>
  <cp:category/>
</cp:coreProperties>
</file>