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rtl w:val="0"/>
        </w:rPr>
        <w:t xml:space="preserve">Implementação da Diretiva NIS1 e NIS2 na Administração Pública em Portugal: desafios, prós e contras</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Implementation of the NIS1 and NIS2 Directive in the Portuguese Public Administration: challenges, advantages and drawbacks</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after="0" w:line="240" w:lineRule="auto"/>
        <w:jc w:val="right"/>
        <w:rPr>
          <w:b w:val="1"/>
          <w:bCs w:val="1"/>
        </w:rPr>
      </w:pPr>
      <w:r w:rsidDel="00000000" w:rsidR="00000000" w:rsidRPr="00000000">
        <w:rPr>
          <w:b w:val="1"/>
          <w:bCs w:val="1"/>
          <w:rtl w:val="0"/>
        </w:rPr>
        <w:t xml:space="preserve">Alessandra Souza Garcia, Faculdade de Direito da Universidade de Coimbra</w:t>
      </w:r>
    </w:p>
    <w:p w:rsidR="00000000" w:rsidDel="00000000" w:rsidP="00000000" w:rsidRDefault="00000000" w:rsidRPr="00000000" w14:paraId="00000005">
      <w:pPr>
        <w:spacing w:after="0" w:line="240" w:lineRule="auto"/>
        <w:jc w:val="right"/>
        <w:rPr>
          <w:b w:val="1"/>
          <w:bCs w:val="1"/>
        </w:rPr>
      </w:pPr>
      <w:r w:rsidDel="00000000" w:rsidR="00000000" w:rsidRPr="00000000">
        <w:rPr>
          <w:b w:val="1"/>
          <w:bCs w:val="1"/>
          <w:rtl w:val="0"/>
        </w:rPr>
        <w:t xml:space="preserve">Diogo José de Oliveira Nunes, Faculdade de Direito da Universidade de Coimbra</w:t>
      </w:r>
    </w:p>
    <w:p w:rsidR="00000000" w:rsidDel="00000000" w:rsidP="00000000" w:rsidRDefault="00000000" w:rsidRPr="00000000" w14:paraId="00000006">
      <w:pPr>
        <w:spacing w:after="0" w:line="240" w:lineRule="auto"/>
        <w:jc w:val="right"/>
        <w:rPr>
          <w:b w:val="1"/>
          <w:bCs w:val="1"/>
        </w:rPr>
      </w:pPr>
      <w:r w:rsidDel="00000000" w:rsidR="00000000" w:rsidRPr="00000000">
        <w:rPr>
          <w:b w:val="1"/>
          <w:bCs w:val="1"/>
          <w:rtl w:val="0"/>
        </w:rPr>
        <w:t xml:space="preserve">Luara Oliveira Padre, Faculdade de Direito da Universidade de Coimbra </w:t>
      </w:r>
    </w:p>
    <w:p w:rsidR="00000000" w:rsidDel="00000000" w:rsidP="00000000" w:rsidRDefault="00000000" w:rsidRPr="00000000" w14:paraId="00000007">
      <w:pPr>
        <w:pStyle w:val="Heading1"/>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Resumo: </w:t>
      </w:r>
      <w:r w:rsidDel="00000000" w:rsidR="00000000" w:rsidRPr="00000000">
        <w:rPr>
          <w:rFonts w:ascii="Times New Roman" w:cs="Times New Roman" w:eastAsia="Times New Roman" w:hAnsi="Times New Roman"/>
          <w:b w:val="0"/>
          <w:bCs w:val="0"/>
          <w:color w:val="000000"/>
          <w:sz w:val="24"/>
          <w:szCs w:val="24"/>
          <w:rtl w:val="0"/>
        </w:rPr>
        <w:t xml:space="preserve">A transposição da Diretiva NIS1 (2016) e a futura implementação da Diretiva NIS2 (2022) representam um marco na consolidação da cibersegurança na Administração Pública portuguesa. Estas diretivas procuram reforçar a resiliência dos sistemas de informação, harmonizar práticas de gestão de risco e aumentar a capacidade de resposta a incidentes. Contudo, a sua implementação enfrenta desafios significativos, como a escassez de recursos humanos especializados, a heterogeneidade tecnológica dos organismos públicos e a necessidade de promover uma cultura de segurança. Este artigo apresenta uma recensão crítica temática baseada nos documentos oficiais do Centro Nacional de Cibersegurança (CNCS), articulando-os com literatura académica sobre governação digital e cibersegurança. Conclui-se que, apesar dos avanços, persistem limitações estruturais que condicionam a eficácia das diretivas.</w:t>
      </w:r>
    </w:p>
    <w:p w:rsidR="00000000" w:rsidDel="00000000" w:rsidP="00000000" w:rsidRDefault="00000000" w:rsidRPr="00000000" w14:paraId="00000008">
      <w:pPr>
        <w:spacing w:line="360" w:lineRule="auto"/>
        <w:jc w:val="both"/>
        <w:rPr>
          <w:b w:val="1"/>
          <w:bCs w:val="1"/>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b w:val="1"/>
          <w:bCs w:val="1"/>
          <w:rtl w:val="0"/>
        </w:rPr>
        <w:t xml:space="preserve">Palavras‑chave:</w:t>
      </w:r>
      <w:r w:rsidDel="00000000" w:rsidR="00000000" w:rsidRPr="00000000">
        <w:rPr>
          <w:rtl w:val="0"/>
        </w:rPr>
        <w:t xml:space="preserve"> NIS1, NIS2, Administração Pública, Cibersegurança, CNCS, Governação Digital.</w:t>
      </w:r>
    </w:p>
    <w:p w:rsidR="00000000" w:rsidDel="00000000" w:rsidP="00000000" w:rsidRDefault="00000000" w:rsidRPr="00000000" w14:paraId="0000000A">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w:t>
      </w:r>
    </w:p>
    <w:p w:rsidR="00000000" w:rsidDel="00000000" w:rsidP="00000000" w:rsidRDefault="00000000" w:rsidRPr="00000000" w14:paraId="0000000B">
      <w:pPr>
        <w:spacing w:line="240" w:lineRule="auto"/>
        <w:jc w:val="both"/>
        <w:rPr/>
      </w:pPr>
      <w:r w:rsidDel="00000000" w:rsidR="00000000" w:rsidRPr="00000000">
        <w:rPr>
          <w:rtl w:val="0"/>
        </w:rPr>
        <w:t xml:space="preserve">The transposition of the NIS1 Directive (2016) and the upcoming implementation of the NIS2 Directive (2022) represent a milestone in strengthening cybersecurity within the Portuguese Public Administration. These directives aim to reinforce information system resilience, harmonize risk‑management practices and enhance incident‑response capabilities. However, their implementation faces significant challenges, such as the shortage of specialized human resources, technological heterogeneity across public bodies and the need to promote a security‑oriented culture. This article presents a thematic critical review based on official documents from the Portuguese National Cybersecurity Center (CNCS), combined with academic literature on digital governance and cybersecurity. Findings suggest that, despite progress, structural limitations persist.</w:t>
      </w:r>
    </w:p>
    <w:p w:rsidR="00000000" w:rsidDel="00000000" w:rsidP="00000000" w:rsidRDefault="00000000" w:rsidRPr="00000000" w14:paraId="0000000C">
      <w:pPr>
        <w:spacing w:line="360" w:lineRule="auto"/>
        <w:jc w:val="both"/>
        <w:rPr/>
      </w:pPr>
      <w:r w:rsidDel="00000000" w:rsidR="00000000" w:rsidRPr="00000000">
        <w:rPr>
          <w:b w:val="1"/>
          <w:bCs w:val="1"/>
          <w:rtl w:val="0"/>
        </w:rPr>
        <w:t xml:space="preserve">Keywords:</w:t>
      </w:r>
      <w:r w:rsidDel="00000000" w:rsidR="00000000" w:rsidRPr="00000000">
        <w:rPr>
          <w:rtl w:val="0"/>
        </w:rPr>
        <w:t xml:space="preserve"> NIS2, Public Administration, Cybersecurity, CNCS, Digital Governance</w:t>
      </w:r>
    </w:p>
    <w:p w:rsidR="00000000" w:rsidDel="00000000" w:rsidP="00000000" w:rsidRDefault="00000000" w:rsidRPr="00000000" w14:paraId="0000000D">
      <w:pPr>
        <w:pStyle w:val="Heading1"/>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Introdução</w:t>
      </w:r>
    </w:p>
    <w:p w:rsidR="00000000" w:rsidDel="00000000" w:rsidP="00000000" w:rsidRDefault="00000000" w:rsidRPr="00000000" w14:paraId="0000000E">
      <w:pPr>
        <w:pStyle w:val="Heading1"/>
        <w:spacing w:line="360" w:lineRule="auto"/>
        <w:ind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Revisão de literatura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Administração Pública e governação digital</w:t>
      </w:r>
    </w:p>
    <w:p w:rsidR="00000000" w:rsidDel="00000000" w:rsidP="00000000" w:rsidRDefault="00000000" w:rsidRPr="00000000" w14:paraId="00000010">
      <w:pPr>
        <w:spacing w:after="0" w:line="360" w:lineRule="auto"/>
        <w:ind w:firstLine="851"/>
        <w:jc w:val="both"/>
        <w:rPr/>
      </w:pPr>
      <w:r w:rsidDel="00000000" w:rsidR="00000000" w:rsidRPr="00000000">
        <w:rPr>
          <w:rtl w:val="0"/>
        </w:rPr>
        <w:t xml:space="preserve">A evolução da Administração Pública nas últimas décadas tem refletido uma transição significativa de modelos tradicionais, fortemente burocráticos e hierarquizados, para modelos orientados para a eficiência, a inovação e a participação cidadã. Esta mudança está profundamente associada à incorporação das Tecnologias de Informação e Comunicação (TIC), que passaram de instrumentos de suporte administrativo para elementos estruturantes da ação governativa. De acordo com Dias e Gomes (2021), o conceito de governo eletrónico (e-Gov) emergiu inicialmente com o objetivo de modernizar os serviços públicos através da digitalização de processos, mas evoluiu progressivamente para um conceito mais abrangente de governança digital, no qual a interação com os cidadãos e a cocriação de políticas públicas assumem um papel central . Esta evolução implica não apenas a informatização dos serviços, mas uma transformação organizacional e cultural do Estado, orientada para o utilizador e para a criação de valor público.</w:t>
      </w:r>
    </w:p>
    <w:p w:rsidR="00000000" w:rsidDel="00000000" w:rsidP="00000000" w:rsidRDefault="00000000" w:rsidRPr="00000000" w14:paraId="00000011">
      <w:pPr>
        <w:spacing w:after="0" w:line="360" w:lineRule="auto"/>
        <w:ind w:firstLine="851"/>
        <w:jc w:val="both"/>
        <w:rPr>
          <w:b w:val="1"/>
          <w:bCs w:val="1"/>
        </w:rPr>
      </w:pPr>
      <w:r w:rsidDel="00000000" w:rsidR="00000000" w:rsidRPr="00000000">
        <w:rPr>
          <w:rtl w:val="0"/>
        </w:rPr>
        <w:t xml:space="preserve">Neste contexto, a literatura evidencia também a emergência do paradigma da “governação da era digital” (Digital-Era Governance), que sucede às reformas da Nova Gestão Pública e enfatiza a reintegração de serviços, a orientação para as necessidades dos cidadãos e a digitalização dos processos administrativos (Dunleavy et al., 2005) . Paralelamente, autores como Bannister e Connolly (2011) sublinham que a transformação digital do setor público tem sido frequentemente associada à expectativa de aumento da eficiência e da confiança dos cidadãos nas instituições, embora não exista consenso quanto à profundidade ou alcance real dessas transformações. Assim, a passagem de e-Gov para governança digital representa não apenas uma evolução tecnológica, mas uma reconfiguração das relações entre Estado e sociedade, baseada em maior integração, colaboração e centralidade do cidadão</w:t>
      </w:r>
      <w:r w:rsidDel="00000000" w:rsidR="00000000" w:rsidRPr="00000000">
        <w:rPr>
          <w:b w:val="1"/>
          <w:bCs w:val="1"/>
          <w:rtl w:val="0"/>
        </w:rPr>
        <w:t xml:space="preserve">.</w:t>
      </w:r>
    </w:p>
    <w:p w:rsidR="00000000" w:rsidDel="00000000" w:rsidP="00000000" w:rsidRDefault="00000000" w:rsidRPr="00000000" w14:paraId="00000012">
      <w:pPr>
        <w:spacing w:after="0" w:line="360" w:lineRule="auto"/>
        <w:ind w:firstLine="851"/>
        <w:jc w:val="both"/>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Cibersegurança e cibercrime</w:t>
      </w:r>
    </w:p>
    <w:p w:rsidR="00000000" w:rsidDel="00000000" w:rsidP="00000000" w:rsidRDefault="00000000" w:rsidRPr="00000000" w14:paraId="00000014">
      <w:pPr>
        <w:spacing w:after="0" w:line="360" w:lineRule="auto"/>
        <w:ind w:firstLine="851"/>
        <w:jc w:val="both"/>
        <w:rPr>
          <w:b w:val="1"/>
          <w:bCs w:val="1"/>
        </w:rPr>
      </w:pPr>
      <w:r w:rsidDel="00000000" w:rsidR="00000000" w:rsidRPr="00000000">
        <w:rPr>
          <w:rtl w:val="0"/>
        </w:rPr>
        <w:t xml:space="preserve">O crescimento exponencial da utilização das TIC na Administração Pública e na sociedade em geral tem sido acompanhado por um aumento significativo dos riscos associados à cibersegurança. A digitalização intensiva dos serviços públicos, embora traga ganhos de eficiência e acessibilidade, amplia simultaneamente a superfície de exposição a ameaças como ciberataques, engenharia social e violações de dados. A literatura evidencia que a interligação crescente de sistemas e a dependência de infraestruturas digitais tornam os Estados mais vulneráveis a incidentes que podem comprometer não apenas dados sensíveis, mas também a continuidade de serviços essenciais. Neste contexto, a transformação digital não deve ser entendida apenas como um processo tecnológico, mas como uma mudança que exige novas capacidades organizacionais e culturais, incluindo mecanismos robustos de gestão de risco e resposta a incidentes. Curtis (2019) destaca que a digitalização dos serviços públicos implica a reformulação de processos internos e a adoção de práticas centradas no utilizador, mas alerta que a tecnologia, por si só, não resolve problemas estruturais, sendo necessário integrar abordagens organizacionais e de segurança adequadas . Por sua vez, o aumento da complexidade dos sistemas digitais e da quantidade de dados disponíveis — fenómeno associado ao uso de Big Data — introduz novos desafios relacionados com a proteção da informação e a gestão do conhecimento, podendo expor vulnerabilidades adicionais se não forem implementadas medidas adequadas de controlo e segurança (Erkut, 2020) . Assim, a cibersegurança assume-se como um elemento central da governação digital, exigindo abordagens preventivas, capacidade de resposta e coordenação institucional</w:t>
      </w:r>
      <w:r w:rsidDel="00000000" w:rsidR="00000000" w:rsidRPr="00000000">
        <w:rPr>
          <w:b w:val="1"/>
          <w:bCs w:val="1"/>
          <w:rtl w:val="0"/>
        </w:rPr>
        <w:t xml:space="preserve">.</w:t>
      </w:r>
    </w:p>
    <w:p w:rsidR="00000000" w:rsidDel="00000000" w:rsidP="00000000" w:rsidRDefault="00000000" w:rsidRPr="00000000" w14:paraId="00000015">
      <w:pPr>
        <w:spacing w:after="0" w:line="360" w:lineRule="auto"/>
        <w:ind w:firstLine="851"/>
        <w:jc w:val="both"/>
        <w:rPr>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Enquadramento jurídico europeu</w:t>
      </w:r>
    </w:p>
    <w:p w:rsidR="00000000" w:rsidDel="00000000" w:rsidP="00000000" w:rsidRDefault="00000000" w:rsidRPr="00000000" w14:paraId="00000017">
      <w:pPr>
        <w:spacing w:after="0" w:line="360" w:lineRule="auto"/>
        <w:ind w:firstLine="851"/>
        <w:jc w:val="both"/>
        <w:rPr/>
      </w:pPr>
      <w:r w:rsidDel="00000000" w:rsidR="00000000" w:rsidRPr="00000000">
        <w:rPr>
          <w:rtl w:val="0"/>
        </w:rPr>
        <w:t xml:space="preserve">A crescente relevância da cibersegurança e da resiliência digital levou ao desenvolvimento de um enquadramento jurídico europeu mais robusto e integrado. Neste contexto, a Diretiva NIS2 insere-se num ecossistema regulatório mais amplo que inclui instrumentos como o Regulamento Geral sobre a Proteção de Dados (RGPD) e estratégias europeias de cibersegurança, refletindo uma abordagem sistémica à proteção das infraestruturas críticas e dos sistemas de informação. Esta evolução normativa acompanha a própria transformação da Administração Pública e a crescente interdependência entre sistemas digitais, exigindo maior coordenação e harmonização entre Estados-Membros.</w:t>
      </w:r>
    </w:p>
    <w:p w:rsidR="00000000" w:rsidDel="00000000" w:rsidP="00000000" w:rsidRDefault="00000000" w:rsidRPr="00000000" w14:paraId="00000018">
      <w:pPr>
        <w:spacing w:after="0" w:line="360" w:lineRule="auto"/>
        <w:ind w:firstLine="851"/>
        <w:jc w:val="both"/>
        <w:rPr/>
      </w:pPr>
      <w:r w:rsidDel="00000000" w:rsidR="00000000" w:rsidRPr="00000000">
        <w:rPr>
          <w:rtl w:val="0"/>
        </w:rPr>
        <w:t xml:space="preserve">A literatura sobre reforma do setor público destaca que a complexidade e a fragmentação institucional exigem abordagens integradas, como o modelo “whole-of-government”, que procura reforçar a coordenação entre diferentes entidades e níveis de governação (Christensen e Lægreid, 2007). Este tipo de abordagem é particularmente relevante no domínio da cibersegurança, onde a eficácia depende da articulação entre múltiplos atores e da partilha de informação. </w:t>
      </w:r>
    </w:p>
    <w:p w:rsidR="00000000" w:rsidDel="00000000" w:rsidP="00000000" w:rsidRDefault="00000000" w:rsidRPr="00000000" w14:paraId="00000019">
      <w:pPr>
        <w:spacing w:after="0" w:line="360" w:lineRule="auto"/>
        <w:ind w:firstLine="851"/>
        <w:jc w:val="both"/>
        <w:rPr/>
      </w:pPr>
      <w:r w:rsidDel="00000000" w:rsidR="00000000" w:rsidRPr="00000000">
        <w:rPr>
          <w:rtl w:val="0"/>
        </w:rPr>
        <w:t xml:space="preserve">A NIS2 reflete esta lógica ao introduzir requisitos mais exigentes de gestão de risco, auditoria, reporte de incidentes e responsabilização dos órgãos de direção, promovendo uma cultura de segurança transversal às organizações. </w:t>
      </w:r>
    </w:p>
    <w:p w:rsidR="00000000" w:rsidDel="00000000" w:rsidP="00000000" w:rsidRDefault="00000000" w:rsidRPr="00000000" w14:paraId="0000001A">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 Opções metodológicas</w:t>
      </w:r>
    </w:p>
    <w:p w:rsidR="00000000" w:rsidDel="00000000" w:rsidP="00000000" w:rsidRDefault="00000000" w:rsidRPr="00000000" w14:paraId="0000001B">
      <w:pPr>
        <w:spacing w:after="0" w:line="360" w:lineRule="auto"/>
        <w:ind w:firstLine="851"/>
        <w:jc w:val="both"/>
        <w:rPr/>
      </w:pPr>
      <w:r w:rsidDel="00000000" w:rsidR="00000000" w:rsidRPr="00000000">
        <w:rPr>
          <w:rtl w:val="0"/>
        </w:rPr>
        <w:t xml:space="preserve">A metodologia adotada consiste em:</w:t>
      </w:r>
    </w:p>
    <w:p w:rsidR="00000000" w:rsidDel="00000000" w:rsidP="00000000" w:rsidRDefault="00000000" w:rsidRPr="00000000" w14:paraId="0000001C">
      <w:pPr>
        <w:spacing w:after="0" w:line="360" w:lineRule="auto"/>
        <w:ind w:firstLine="851"/>
        <w:jc w:val="both"/>
        <w:rPr/>
      </w:pPr>
      <w:r w:rsidDel="00000000" w:rsidR="00000000" w:rsidRPr="00000000">
        <w:rPr>
          <w:rtl w:val="0"/>
        </w:rPr>
        <w:t xml:space="preserve">- Análise documental dos conteúdos oficiais do CNCS sobre a NIS1 e NIS2, incluindo FAQs, guias e enquadramentos legais.</w:t>
      </w:r>
    </w:p>
    <w:p w:rsidR="00000000" w:rsidDel="00000000" w:rsidP="00000000" w:rsidRDefault="00000000" w:rsidRPr="00000000" w14:paraId="0000001D">
      <w:pPr>
        <w:spacing w:after="0" w:line="360" w:lineRule="auto"/>
        <w:ind w:firstLine="851"/>
        <w:jc w:val="both"/>
        <w:rPr/>
      </w:pPr>
      <w:r w:rsidDel="00000000" w:rsidR="00000000" w:rsidRPr="00000000">
        <w:rPr>
          <w:rtl w:val="0"/>
        </w:rPr>
        <w:t xml:space="preserve">- Revisão de literatura científica sobre governação digital, políticas públicas e cibersegurança.</w:t>
      </w:r>
    </w:p>
    <w:p w:rsidR="00000000" w:rsidDel="00000000" w:rsidP="00000000" w:rsidRDefault="00000000" w:rsidRPr="00000000" w14:paraId="0000001E">
      <w:pPr>
        <w:spacing w:after="0" w:line="360" w:lineRule="auto"/>
        <w:ind w:firstLine="851"/>
        <w:jc w:val="both"/>
        <w:rPr/>
      </w:pPr>
      <w:r w:rsidDel="00000000" w:rsidR="00000000" w:rsidRPr="00000000">
        <w:rPr>
          <w:rtl w:val="0"/>
        </w:rPr>
        <w:t xml:space="preserve">-  Análise comparativa entre os requisitos da NIS1 e da NIS2 e os desafios específicos da Administração Pública portuguesa.</w:t>
      </w:r>
    </w:p>
    <w:p w:rsidR="00000000" w:rsidDel="00000000" w:rsidP="00000000" w:rsidRDefault="00000000" w:rsidRPr="00000000" w14:paraId="0000001F">
      <w:pPr>
        <w:spacing w:after="0" w:line="360" w:lineRule="auto"/>
        <w:ind w:firstLine="851"/>
        <w:jc w:val="both"/>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rPr>
      </w:pPr>
      <w:r w:rsidDel="00000000" w:rsidR="00000000" w:rsidRPr="00000000">
        <w:rPr>
          <w:b w:val="1"/>
          <w:bCs w:val="1"/>
          <w:rtl w:val="0"/>
        </w:rPr>
        <w:t xml:space="preserve">III. Apresentação e Discussão dos Resultados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11"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Avanços trazidos pela NIS1</w:t>
      </w:r>
    </w:p>
    <w:p w:rsidR="00000000" w:rsidDel="00000000" w:rsidP="00000000" w:rsidRDefault="00000000" w:rsidRPr="00000000" w14:paraId="00000022">
      <w:pPr>
        <w:spacing w:after="0" w:line="360" w:lineRule="auto"/>
        <w:ind w:firstLine="851"/>
        <w:jc w:val="both"/>
        <w:rPr>
          <w:color w:val="000000"/>
        </w:rPr>
      </w:pPr>
      <w:r w:rsidDel="00000000" w:rsidR="00000000" w:rsidRPr="00000000">
        <w:rPr>
          <w:color w:val="000000"/>
          <w:rtl w:val="0"/>
        </w:rPr>
        <w:t xml:space="preserve">A Diretiva NIS1 representou um marco fundamental na consolidação da cibersegurança como uma prioridade estratégica na União Europeia, ao estabelecer, pela primeira vez, um conjunto de obrigações legais aplicáveis a operadores de serviços essenciais e prestadores de serviços digitais. Esta diretiva introduziu uma abordagem estruturada à gestão de riscos e à proteção das infraestruturas críticas, promovendo a criação de capacidades institucionais nos Estados-Membros. Em Portugal, este processo traduziu-se na consolidação do Centro Nacional de Cibersegurança enquanto autoridade nacional competente, responsável pela coordenação de políticas, supervisão e resposta a incidentes.</w:t>
      </w:r>
    </w:p>
    <w:p w:rsidR="00000000" w:rsidDel="00000000" w:rsidP="00000000" w:rsidRDefault="00000000" w:rsidRPr="00000000" w14:paraId="00000023">
      <w:pPr>
        <w:spacing w:after="0" w:line="360" w:lineRule="auto"/>
        <w:ind w:firstLine="851"/>
        <w:jc w:val="both"/>
        <w:rPr>
          <w:color w:val="000000"/>
        </w:rPr>
      </w:pPr>
      <w:r w:rsidDel="00000000" w:rsidR="00000000" w:rsidRPr="00000000">
        <w:rPr>
          <w:color w:val="000000"/>
          <w:rtl w:val="0"/>
        </w:rPr>
        <w:t xml:space="preserve">Entre os principais avanços, destaca-se a definição de requisitos mínimos de segurança, que obrigaram as entidades abrangidas a adotar medidas técnicas e organizativas adequadas à mitigação de riscos. Paralelamente, a introdução de mecanismos obrigatórios de notificação de incidentes permitiu melhorar significativamente a visibilidade sobre ameaças e vulnerabilidades, contribuindo para uma resposta mais coordenada e eficaz a nível nacional e europeu. Esta estrutura fomentou também a cooperação entre Estados-Membros, nomeadamente através da criação de redes de partilha de informação e boas práticas.</w:t>
      </w:r>
    </w:p>
    <w:p w:rsidR="00000000" w:rsidDel="00000000" w:rsidP="00000000" w:rsidRDefault="00000000" w:rsidRPr="00000000" w14:paraId="00000024">
      <w:pPr>
        <w:spacing w:after="0" w:line="360" w:lineRule="auto"/>
        <w:ind w:firstLine="851"/>
        <w:jc w:val="both"/>
        <w:rPr>
          <w:color w:val="000000"/>
        </w:rPr>
      </w:pPr>
      <w:r w:rsidDel="00000000" w:rsidR="00000000" w:rsidRPr="00000000">
        <w:rPr>
          <w:color w:val="000000"/>
          <w:rtl w:val="0"/>
        </w:rPr>
        <w:t xml:space="preserve">Contudo, a experiência acumulada com a aplicação da NIS1 revelou limitações estruturais relevantes. O seu âmbito de aplicação mostrou-se relativamente restrito, deixando de fora setores críticos e um número significativo de entidades relevantes para a segurança digital. Acresce que a transposição desigual pelos diferentes Estados-Membros originou níveis de maturidade e exigência distintos, comprometendo a harmonização pretendida. Por fim, a capacidade de supervisão e fiscalização revelou-se, em muitos casos, insuficiente face à complexidade e à rápida evolução das ameaças cibernéticas, evidenciando a necessidade de um quadro regulatório mais robusto e uniforme.</w:t>
      </w:r>
    </w:p>
    <w:p w:rsidR="00000000" w:rsidDel="00000000" w:rsidP="00000000" w:rsidRDefault="00000000" w:rsidRPr="00000000" w14:paraId="00000025">
      <w:pPr>
        <w:spacing w:after="0" w:line="360" w:lineRule="auto"/>
        <w:ind w:firstLine="851"/>
        <w:jc w:val="both"/>
        <w:rPr>
          <w:color w:val="00000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11"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NIS2: reforço e ampliação</w:t>
      </w:r>
    </w:p>
    <w:p w:rsidR="00000000" w:rsidDel="00000000" w:rsidP="00000000" w:rsidRDefault="00000000" w:rsidRPr="00000000" w14:paraId="00000027">
      <w:pPr>
        <w:spacing w:after="0" w:line="360" w:lineRule="auto"/>
        <w:ind w:firstLine="851"/>
        <w:jc w:val="both"/>
        <w:rPr>
          <w:color w:val="000000"/>
        </w:rPr>
      </w:pPr>
      <w:r w:rsidDel="00000000" w:rsidR="00000000" w:rsidRPr="00000000">
        <w:rPr>
          <w:color w:val="000000"/>
          <w:rtl w:val="0"/>
        </w:rPr>
        <w:t xml:space="preserve">A Diretiva NIS2 surge como resposta direta às fragilidades identificadas na NIS1, estabelecendo um quadro mais abrangente, exigente e harmonizado de cibersegurança na União Europeia. Em Portugal, a sua transposição foi concretizada através do Decreto-Lei n.º 125/2025, de 4 de dezembro, que aprova o novo Regime Jurídico da Cibersegurança. Segundo o Centro Nacional de Cibersegurança, esta diretiva visa “elevar o nível comum de cibersegurança na União Europeia”, reforçando a resiliência tanto das entidades públicas como privadas.</w:t>
      </w:r>
    </w:p>
    <w:p w:rsidR="00000000" w:rsidDel="00000000" w:rsidP="00000000" w:rsidRDefault="00000000" w:rsidRPr="00000000" w14:paraId="00000028">
      <w:pPr>
        <w:spacing w:after="0" w:line="360" w:lineRule="auto"/>
        <w:ind w:firstLine="851"/>
        <w:jc w:val="both"/>
        <w:rPr>
          <w:b w:val="1"/>
          <w:bCs w:val="1"/>
          <w:color w:val="000000"/>
        </w:rPr>
      </w:pPr>
      <w:r w:rsidDel="00000000" w:rsidR="00000000" w:rsidRPr="00000000">
        <w:rPr>
          <w:color w:val="000000"/>
          <w:rtl w:val="0"/>
        </w:rPr>
        <w:t xml:space="preserve">Um dos principais avanços da NIS2 reside no alargamento significativo do seu âmbito de aplicação, passando a abranger um maior número de setores considerados críticos, incluindo explicitamente a Administração Pública. Esta expansão reflete o reconhecimento de que a digitalização dos serviços públicos aumenta a sua exposição a riscos cibernéticos, tornando essencial a sua integração no quadro regulatório europeu</w:t>
      </w:r>
      <w:r w:rsidDel="00000000" w:rsidR="00000000" w:rsidRPr="00000000">
        <w:rPr>
          <w:b w:val="1"/>
          <w:bCs w:val="1"/>
          <w:color w:val="000000"/>
          <w:rtl w:val="0"/>
        </w:rPr>
        <w:t xml:space="preserve">.</w:t>
      </w:r>
    </w:p>
    <w:p w:rsidR="00000000" w:rsidDel="00000000" w:rsidP="00000000" w:rsidRDefault="00000000" w:rsidRPr="00000000" w14:paraId="00000029">
      <w:pPr>
        <w:spacing w:after="0" w:line="360" w:lineRule="auto"/>
        <w:ind w:firstLine="851"/>
        <w:jc w:val="both"/>
        <w:rPr>
          <w:color w:val="000000"/>
        </w:rPr>
      </w:pPr>
      <w:r w:rsidDel="00000000" w:rsidR="00000000" w:rsidRPr="00000000">
        <w:rPr>
          <w:color w:val="000000"/>
          <w:rtl w:val="0"/>
        </w:rPr>
        <w:t xml:space="preserve">Adicionalmente, a NIS2 introduz requisitos mais rigorosos em matéria de gestão de risco, exigindo a implementação de medidas de segurança mais robustas e sistemáticas, bem como a realização de auditorias regulares. Um elemento particularmente relevante é a responsabilização direta dos órgãos de direção das entidades abrangidas, que passam a ter deveres explícitos na supervisão das políticas de cibersegurança. Este reforço da accountability representa uma mudança de</w:t>
      </w:r>
      <w:r w:rsidDel="00000000" w:rsidR="00000000" w:rsidRPr="00000000">
        <w:rPr>
          <w:b w:val="1"/>
          <w:bCs w:val="1"/>
          <w:color w:val="000000"/>
          <w:rtl w:val="0"/>
        </w:rPr>
        <w:t xml:space="preserve"> </w:t>
      </w:r>
      <w:r w:rsidDel="00000000" w:rsidR="00000000" w:rsidRPr="00000000">
        <w:rPr>
          <w:color w:val="000000"/>
          <w:rtl w:val="0"/>
        </w:rPr>
        <w:t xml:space="preserve">paradigma, deslocando a cibersegurança de um domínio meramente técnico para uma prioridade estratégica de governação.</w:t>
      </w:r>
    </w:p>
    <w:p w:rsidR="00000000" w:rsidDel="00000000" w:rsidP="00000000" w:rsidRDefault="00000000" w:rsidRPr="00000000" w14:paraId="0000002A">
      <w:pPr>
        <w:spacing w:after="0" w:line="360" w:lineRule="auto"/>
        <w:ind w:firstLine="851"/>
        <w:jc w:val="both"/>
        <w:rPr>
          <w:color w:val="000000"/>
        </w:rPr>
      </w:pPr>
      <w:r w:rsidDel="00000000" w:rsidR="00000000" w:rsidRPr="00000000">
        <w:rPr>
          <w:color w:val="000000"/>
          <w:rtl w:val="0"/>
        </w:rPr>
        <w:t xml:space="preserve">Por outro lado, o regime sancionatório torna-se mais exigente, prevendo penalizações significativas em caso de incumprimento, o que reforça o incentivo à conformidade. A harmonização das obrigações entre Estados-Membros constitui também um objetivo central da diretiva, reduzindo disparidades e promovendo um nível mais consistente de proteção em toda a União. Em suma, a NIS2 não apenas amplia o alcance da regulação, mas também aprofunda a sua eficácia, promovendo uma abordagem mais integrada e preventiva da cibersegurança.</w:t>
      </w:r>
    </w:p>
    <w:p w:rsidR="00000000" w:rsidDel="00000000" w:rsidP="00000000" w:rsidRDefault="00000000" w:rsidRPr="00000000" w14:paraId="0000002B">
      <w:pPr>
        <w:spacing w:after="0" w:line="360" w:lineRule="auto"/>
        <w:ind w:firstLine="851"/>
        <w:jc w:val="both"/>
        <w:rPr>
          <w:color w:val="00000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11"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Desafios específicos da Administração Pública portuguesa</w:t>
      </w:r>
    </w:p>
    <w:p w:rsidR="00000000" w:rsidDel="00000000" w:rsidP="00000000" w:rsidRDefault="00000000" w:rsidRPr="00000000" w14:paraId="0000002D">
      <w:pPr>
        <w:spacing w:after="0" w:line="360" w:lineRule="auto"/>
        <w:ind w:firstLine="851"/>
        <w:jc w:val="both"/>
        <w:rPr>
          <w:color w:val="000000"/>
        </w:rPr>
      </w:pPr>
      <w:r w:rsidDel="00000000" w:rsidR="00000000" w:rsidRPr="00000000">
        <w:rPr>
          <w:color w:val="000000"/>
          <w:rtl w:val="0"/>
        </w:rPr>
        <w:t xml:space="preserve">Apesar dos avanços introduzidos pela NIS2, a sua implementação na Administração Pública portuguesa enfrenta desafios significativos, decorrentes tanto de limitações estruturais como de fatores organizacionais.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11"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Escassez de recursos humanos especializados</w:t>
      </w:r>
    </w:p>
    <w:p w:rsidR="00000000" w:rsidDel="00000000" w:rsidP="00000000" w:rsidRDefault="00000000" w:rsidRPr="00000000" w14:paraId="0000002F">
      <w:pPr>
        <w:spacing w:after="0" w:line="360" w:lineRule="auto"/>
        <w:ind w:firstLine="851"/>
        <w:jc w:val="both"/>
        <w:rPr>
          <w:color w:val="000000"/>
        </w:rPr>
      </w:pPr>
      <w:r w:rsidDel="00000000" w:rsidR="00000000" w:rsidRPr="00000000">
        <w:rPr>
          <w:color w:val="000000"/>
          <w:rtl w:val="0"/>
        </w:rPr>
        <w:t xml:space="preserve">Um dos principais obstáculos reside na dificuldade de recrutar e reter profissionais qualificados na área da cibersegurança. A Administração Pública enfrenta forte concorrência do setor privado, que oferece condições mais atrativas, o que limita a capacidade de constituir equipas técnicas robustas. Esta lacuna compromete a implementação eficaz das exigências da NIS2, que pressupõem competências especializadas em áreas como gestão de risco, resposta a incidentes e auditoria de sistemas.</w:t>
      </w:r>
    </w:p>
    <w:p w:rsidR="00000000" w:rsidDel="00000000" w:rsidP="00000000" w:rsidRDefault="00000000" w:rsidRPr="00000000" w14:paraId="00000030">
      <w:pPr>
        <w:spacing w:after="0" w:line="360" w:lineRule="auto"/>
        <w:ind w:firstLine="851"/>
        <w:jc w:val="both"/>
        <w:rPr>
          <w:color w:val="00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11"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Heterogeneidade tecnológica</w:t>
      </w:r>
    </w:p>
    <w:p w:rsidR="00000000" w:rsidDel="00000000" w:rsidP="00000000" w:rsidRDefault="00000000" w:rsidRPr="00000000" w14:paraId="00000032">
      <w:pPr>
        <w:spacing w:after="0" w:line="360" w:lineRule="auto"/>
        <w:ind w:firstLine="851"/>
        <w:jc w:val="both"/>
        <w:rPr>
          <w:color w:val="000000"/>
        </w:rPr>
      </w:pPr>
      <w:r w:rsidDel="00000000" w:rsidR="00000000" w:rsidRPr="00000000">
        <w:rPr>
          <w:color w:val="000000"/>
          <w:rtl w:val="0"/>
        </w:rPr>
        <w:t xml:space="preserve">A diversidade de níveis de maturidade digital entre os organismos públicos constitui outro desafio relevante. Enquanto algumas entidades dispõem de infraestruturas modernas e práticas consolidadas de segurança, outras operam com sistemas obsoletos ou fragmentados. Esta heterogeneidade dificulta a uniformização de políticas e a aplicação consistente dos requisitos da NIS2, exigindo estratégias diferenciadas de adaptação.</w:t>
      </w:r>
    </w:p>
    <w:p w:rsidR="00000000" w:rsidDel="00000000" w:rsidP="00000000" w:rsidRDefault="00000000" w:rsidRPr="00000000" w14:paraId="00000033">
      <w:pPr>
        <w:spacing w:after="0" w:line="360" w:lineRule="auto"/>
        <w:ind w:firstLine="851"/>
        <w:jc w:val="both"/>
        <w:rPr>
          <w:color w:val="00000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11"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Cultura organizacional</w:t>
      </w:r>
    </w:p>
    <w:p w:rsidR="00000000" w:rsidDel="00000000" w:rsidP="00000000" w:rsidRDefault="00000000" w:rsidRPr="00000000" w14:paraId="00000035">
      <w:pPr>
        <w:spacing w:after="0" w:line="360" w:lineRule="auto"/>
        <w:ind w:firstLine="851"/>
        <w:jc w:val="both"/>
        <w:rPr>
          <w:color w:val="000000"/>
        </w:rPr>
      </w:pPr>
      <w:r w:rsidDel="00000000" w:rsidR="00000000" w:rsidRPr="00000000">
        <w:rPr>
          <w:color w:val="000000"/>
          <w:rtl w:val="0"/>
        </w:rPr>
        <w:t xml:space="preserve">A implementação da NIS2 implica uma mudança cultural significativa, na medida em que a cibersegurança deve ser integrada em todos os níveis organizacionais. No entanto, muitos organismos continuam a encarar esta temática como uma responsabilidade exclusiva das equipas técnicas, o que limita a sua eficácia. A diretiva exige, pelo contrário, uma abordagem transversal, com envolvimento ativo da gestão de topo e dos utilizadores.</w:t>
      </w:r>
    </w:p>
    <w:p w:rsidR="00000000" w:rsidDel="00000000" w:rsidP="00000000" w:rsidRDefault="00000000" w:rsidRPr="00000000" w14:paraId="00000036">
      <w:pPr>
        <w:spacing w:after="0" w:line="360" w:lineRule="auto"/>
        <w:ind w:firstLine="851"/>
        <w:jc w:val="both"/>
        <w:rPr>
          <w:color w:val="000000"/>
        </w:rPr>
      </w:pPr>
      <w:r w:rsidDel="00000000" w:rsidR="00000000" w:rsidRPr="00000000">
        <w:rPr>
          <w:rtl w:val="0"/>
        </w:rPr>
      </w:r>
    </w:p>
    <w:p w:rsidR="00000000" w:rsidDel="00000000" w:rsidP="00000000" w:rsidRDefault="00000000" w:rsidRPr="00000000" w14:paraId="00000037">
      <w:pPr>
        <w:pStyle w:val="Heading1"/>
        <w:numPr>
          <w:ilvl w:val="0"/>
          <w:numId w:val="3"/>
        </w:numPr>
        <w:spacing w:before="0" w:line="360" w:lineRule="auto"/>
        <w:ind w:left="121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Engenharia social</w:t>
      </w:r>
    </w:p>
    <w:p w:rsidR="00000000" w:rsidDel="00000000" w:rsidP="00000000" w:rsidRDefault="00000000" w:rsidRPr="00000000" w14:paraId="00000038">
      <w:pPr>
        <w:pStyle w:val="Heading1"/>
        <w:spacing w:before="0" w:line="360" w:lineRule="auto"/>
        <w:ind w:firstLine="851"/>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As ameaças associadas à engenharia social continuam a representar uma das principais vulnerabilidades, explorando o fator humano como ponto de entrada nos sistemas. Este tipo de risco reforça a necessidade de investir em programas contínuos de formação e sensibilização, uma vez que a segurança não depende apenas de soluções tecnológicas, mas também do comportamento dos utilizadores.</w:t>
      </w:r>
    </w:p>
    <w:p w:rsidR="00000000" w:rsidDel="00000000" w:rsidP="00000000" w:rsidRDefault="00000000" w:rsidRPr="00000000" w14:paraId="00000039">
      <w:pPr>
        <w:spacing w:after="0" w:line="360" w:lineRule="auto"/>
        <w:rPr/>
      </w:pPr>
      <w:r w:rsidDel="00000000" w:rsidR="00000000" w:rsidRPr="00000000">
        <w:rPr>
          <w:rtl w:val="0"/>
        </w:rPr>
      </w:r>
    </w:p>
    <w:p w:rsidR="00000000" w:rsidDel="00000000" w:rsidP="00000000" w:rsidRDefault="00000000" w:rsidRPr="00000000" w14:paraId="0000003A">
      <w:pPr>
        <w:pStyle w:val="Heading1"/>
        <w:spacing w:before="0" w:line="360" w:lineRule="auto"/>
        <w:ind w:firstLine="85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Custos e capacidade de implementação</w:t>
      </w:r>
    </w:p>
    <w:p w:rsidR="00000000" w:rsidDel="00000000" w:rsidP="00000000" w:rsidRDefault="00000000" w:rsidRPr="00000000" w14:paraId="0000003B">
      <w:pPr>
        <w:pStyle w:val="Heading1"/>
        <w:spacing w:before="0" w:line="360" w:lineRule="auto"/>
        <w:ind w:firstLine="851"/>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Por fim, a implementação da NIS2 implica custos significativos, associados à modernização tecnológica, realização de auditorias, formação de pessoal e desenvolvimento de mecanismos de monitorização e reporte. Para muitos organismos públicos, especialmente aqueles com recursos limitados, estes encargos representam um desafio considerável. Assim, a eficácia da diretiva dependerá, em grande medida, da capacidade de mobilizar recursos adequados e de estabelecer prioridades estratégicas no investimento em cibersegurança.</w:t>
      </w:r>
    </w:p>
    <w:p w:rsidR="00000000" w:rsidDel="00000000" w:rsidP="00000000" w:rsidRDefault="00000000" w:rsidRPr="00000000" w14:paraId="0000003C">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IV. Considerações finais</w:t>
      </w:r>
    </w:p>
    <w:p w:rsidR="00000000" w:rsidDel="00000000" w:rsidP="00000000" w:rsidRDefault="00000000" w:rsidRPr="00000000" w14:paraId="0000003D">
      <w:pPr>
        <w:spacing w:after="0" w:line="360" w:lineRule="auto"/>
        <w:jc w:val="both"/>
        <w:rPr/>
      </w:pPr>
      <w:r w:rsidDel="00000000" w:rsidR="00000000" w:rsidRPr="00000000">
        <w:rPr>
          <w:rtl w:val="0"/>
        </w:rPr>
      </w:r>
    </w:p>
    <w:p w:rsidR="00000000" w:rsidDel="00000000" w:rsidP="00000000" w:rsidRDefault="00000000" w:rsidRPr="00000000" w14:paraId="0000003E">
      <w:pPr>
        <w:spacing w:after="0" w:line="360" w:lineRule="auto"/>
        <w:ind w:firstLine="851"/>
        <w:jc w:val="both"/>
        <w:rPr/>
      </w:pPr>
      <w:r w:rsidDel="00000000" w:rsidR="00000000" w:rsidRPr="00000000">
        <w:rPr>
          <w:rtl w:val="0"/>
        </w:rPr>
        <w:t xml:space="preserve">A implementação das Diretivas NIS1 e NIS2 constitui um marco estruturante na consolidação de um quadro europeu de cibersegurança, refletindo a crescente centralidade da proteção dos sistemas de informação no funcionamento do Estado e na prestação de serviços públicos. No contexto português, estas diretivas representam não apenas um avanço normativo, mas também um impulso para a transformação organizacional da Administração Pública, exigindo uma abordagem mais integrada, estratégica e orientada para a gestão de risco.</w:t>
      </w:r>
    </w:p>
    <w:p w:rsidR="00000000" w:rsidDel="00000000" w:rsidP="00000000" w:rsidRDefault="00000000" w:rsidRPr="00000000" w14:paraId="0000003F">
      <w:pPr>
        <w:spacing w:after="0" w:line="360" w:lineRule="auto"/>
        <w:ind w:firstLine="851"/>
        <w:jc w:val="both"/>
        <w:rPr/>
      </w:pPr>
      <w:r w:rsidDel="00000000" w:rsidR="00000000" w:rsidRPr="00000000">
        <w:rPr>
          <w:rtl w:val="0"/>
        </w:rPr>
        <w:t xml:space="preserve">A análise desenvolvida permitiu concluir que a NIS1 desempenhou um papel essencial na criação das bases institucionais e operacionais da cibersegurança, nomeadamente através da definição de requisitos mínimos, da institucionalização de mecanismos de reporte de incidentes e do reforço do papel do Centro Nacional de Cibersegurança enquanto autoridade nacional. Contudo, as limitações identificadas — designadamente o seu âmbito restrito, a fragmentação na aplicação entre Estados-Membros e a reduzida capacidade de fiscalização — evidenciaram a necessidade de um quadro regulatório mais robusto e harmonizado.</w:t>
      </w:r>
    </w:p>
    <w:p w:rsidR="00000000" w:rsidDel="00000000" w:rsidP="00000000" w:rsidRDefault="00000000" w:rsidRPr="00000000" w14:paraId="00000040">
      <w:pPr>
        <w:spacing w:after="0" w:line="360" w:lineRule="auto"/>
        <w:ind w:firstLine="851"/>
        <w:jc w:val="both"/>
        <w:rPr/>
      </w:pPr>
      <w:r w:rsidDel="00000000" w:rsidR="00000000" w:rsidRPr="00000000">
        <w:rPr>
          <w:rtl w:val="0"/>
        </w:rPr>
        <w:t xml:space="preserve">Neste sentido, a NIS2 surge como uma evolução qualitativa significativa, alargando o âmbito de aplicação, reforçando os mecanismos de supervisão e introduzindo uma lógica de responsabilização ao nível da governação das organizações. A inclusão explícita da Administração Pública e a imposição de requisitos mais exigentes em matéria de gestão de risco, auditoria e reporte refletem uma mudança de paradigma, na qual a cibersegurança deixa de ser uma função técnica isolada para se afirmar como um elemento central da governação institucional. Ainda assim, importa sublinhar que o sucesso da NIS2 não dependerá exclusivamente da sua densidade normativa, mas sobretudo da capacidade efetiva de implementação pelas entidades abrangidas.</w:t>
      </w:r>
    </w:p>
    <w:p w:rsidR="00000000" w:rsidDel="00000000" w:rsidP="00000000" w:rsidRDefault="00000000" w:rsidRPr="00000000" w14:paraId="00000041">
      <w:pPr>
        <w:spacing w:after="0" w:line="360" w:lineRule="auto"/>
        <w:ind w:firstLine="851"/>
        <w:jc w:val="both"/>
        <w:rPr/>
      </w:pPr>
      <w:r w:rsidDel="00000000" w:rsidR="00000000" w:rsidRPr="00000000">
        <w:rPr>
          <w:rtl w:val="0"/>
        </w:rPr>
        <w:t xml:space="preserve">Os resultados evidenciam que a Administração Pública portuguesa enfrenta desafios estruturais significativos que podem comprometer a eficácia da diretiva. A escassez de recursos humanos especializados, a heterogeneidade dos sistemas tecnológicos e a persistência de culturas organizacionais pouco orientadas para a segurança constituem obstáculos relevantes. Acresce que a crescente sofisticação das ameaças, em particular aquelas baseadas em engenharia social, reforça a necessidade de uma abordagem que combine soluções tecnológicas com investimento contínuo em formação e sensibilização dos utilizadores. Paralelamente, os custos associados à implementação das medidas previstas na NIS2 colocam desafios adicionais, exigindo uma gestão eficiente dos recursos e a definição de prioridades estratégicas.</w:t>
      </w:r>
    </w:p>
    <w:p w:rsidR="00000000" w:rsidDel="00000000" w:rsidP="00000000" w:rsidRDefault="00000000" w:rsidRPr="00000000" w14:paraId="00000042">
      <w:pPr>
        <w:spacing w:after="0" w:line="360" w:lineRule="auto"/>
        <w:ind w:firstLine="851"/>
        <w:jc w:val="both"/>
        <w:rPr/>
      </w:pPr>
      <w:r w:rsidDel="00000000" w:rsidR="00000000" w:rsidRPr="00000000">
        <w:rPr>
          <w:rtl w:val="0"/>
        </w:rPr>
        <w:t xml:space="preserve">Do ponto de vista científico, este trabalho contribui para a sistematização crítica do enquadramento jurídico e organizacional da cibersegurança em Portugal, evidenciando a interdependência entre regulação europeia e práticas administrativas nacionais. A articulação entre fontes institucionais, como o CNCS, e a literatura académica permitiu oferecer uma visão integrada dos desafios e oportunidades associados à NIS2.</w:t>
      </w:r>
    </w:p>
    <w:p w:rsidR="00000000" w:rsidDel="00000000" w:rsidP="00000000" w:rsidRDefault="00000000" w:rsidRPr="00000000" w14:paraId="00000043">
      <w:pPr>
        <w:spacing w:after="0" w:line="360" w:lineRule="auto"/>
        <w:ind w:firstLine="851"/>
        <w:jc w:val="both"/>
        <w:rPr/>
      </w:pPr>
      <w:r w:rsidDel="00000000" w:rsidR="00000000" w:rsidRPr="00000000">
        <w:rPr>
          <w:rtl w:val="0"/>
        </w:rPr>
        <w:t xml:space="preserve">Não obstante, subsistem limitações relevantes, nomeadamente a ainda reduzida produção académica sobre a implementação concreta da NIS2 no contexto português, o que condiciona uma avaliação empírica mais aprofundada dos seus impactos. Neste sentido, futuras investigações poderão centrar-se na análise da maturidade organizacional das entidades públicas, na avaliação dos custos e benefícios das medidas adotadas, bem como na eficácia dos mecanismos de supervisão e resposta a incidentes. Adicionalmente, será relevante explorar o impacto da NIS2 na transformação da cultura organizacional e na capacidade de governação digital da Administração Pública.</w:t>
      </w:r>
    </w:p>
    <w:p w:rsidR="00000000" w:rsidDel="00000000" w:rsidP="00000000" w:rsidRDefault="00000000" w:rsidRPr="00000000" w14:paraId="00000044">
      <w:pPr>
        <w:spacing w:after="0" w:line="360" w:lineRule="auto"/>
        <w:ind w:firstLine="851"/>
        <w:jc w:val="both"/>
        <w:rPr/>
      </w:pPr>
      <w:r w:rsidDel="00000000" w:rsidR="00000000" w:rsidRPr="00000000">
        <w:rPr>
          <w:rtl w:val="0"/>
        </w:rPr>
        <w:t xml:space="preserve">Em síntese, a NIS2 representa uma oportunidade estratégica para reforçar a resiliência digital do Estado português, mas a sua concretização dependerá da capacidade de alinhar requisitos normativos com mudanças efetivas ao nível organizacional, tecnológico e humano.</w:t>
      </w:r>
    </w:p>
    <w:p w:rsidR="00000000" w:rsidDel="00000000" w:rsidP="00000000" w:rsidRDefault="00000000" w:rsidRPr="00000000" w14:paraId="00000045">
      <w:pPr>
        <w:spacing w:line="360" w:lineRule="auto"/>
        <w:jc w:val="both"/>
        <w:rPr>
          <w:b w:val="1"/>
          <w:bCs w:val="1"/>
        </w:rPr>
      </w:pPr>
      <w:r w:rsidDel="00000000" w:rsidR="00000000" w:rsidRPr="00000000">
        <w:rPr>
          <w:rtl w:val="0"/>
        </w:rPr>
      </w:r>
    </w:p>
    <w:p w:rsidR="00000000" w:rsidDel="00000000" w:rsidP="00000000" w:rsidRDefault="00000000" w:rsidRPr="00000000" w14:paraId="00000046">
      <w:pPr>
        <w:spacing w:line="360" w:lineRule="auto"/>
        <w:jc w:val="both"/>
        <w:rPr>
          <w:b w:val="1"/>
          <w:bCs w:val="1"/>
        </w:rPr>
      </w:pPr>
      <w:r w:rsidDel="00000000" w:rsidR="00000000" w:rsidRPr="00000000">
        <w:rPr>
          <w:b w:val="1"/>
          <w:bCs w:val="1"/>
          <w:rtl w:val="0"/>
        </w:rPr>
        <w:t xml:space="preserve">Referências bibliográficas</w:t>
      </w:r>
    </w:p>
    <w:p w:rsidR="00000000" w:rsidDel="00000000" w:rsidP="00000000" w:rsidRDefault="00000000" w:rsidRPr="00000000" w14:paraId="00000047">
      <w:pPr>
        <w:spacing w:line="240" w:lineRule="auto"/>
        <w:ind w:firstLine="851"/>
        <w:jc w:val="both"/>
        <w:rPr/>
      </w:pPr>
      <w:r w:rsidDel="00000000" w:rsidR="00000000" w:rsidRPr="00000000">
        <w:rPr>
          <w:rtl w:val="0"/>
        </w:rPr>
        <w:t xml:space="preserve">Bannister, F., &amp; Connolly, R. (2011). </w:t>
      </w:r>
      <w:r w:rsidDel="00000000" w:rsidR="00000000" w:rsidRPr="00000000">
        <w:rPr>
          <w:i w:val="1"/>
          <w:iCs w:val="1"/>
          <w:rtl w:val="0"/>
        </w:rPr>
        <w:t xml:space="preserve">Trust and transformational government: A proposed framework for research</w:t>
      </w:r>
      <w:r w:rsidDel="00000000" w:rsidR="00000000" w:rsidRPr="00000000">
        <w:rPr>
          <w:rtl w:val="0"/>
        </w:rPr>
        <w:t xml:space="preserve">. </w:t>
      </w:r>
      <w:r w:rsidDel="00000000" w:rsidR="00000000" w:rsidRPr="00000000">
        <w:rPr>
          <w:i w:val="1"/>
          <w:iCs w:val="1"/>
          <w:rtl w:val="0"/>
        </w:rPr>
        <w:t xml:space="preserve">Government Information Quarterly, 28</w:t>
      </w:r>
      <w:r w:rsidDel="00000000" w:rsidR="00000000" w:rsidRPr="00000000">
        <w:rPr>
          <w:rtl w:val="0"/>
        </w:rPr>
        <w:t xml:space="preserve">(2), 137–147. </w:t>
      </w:r>
      <w:hyperlink r:id="rId7">
        <w:r w:rsidDel="00000000" w:rsidR="00000000" w:rsidRPr="00000000">
          <w:rPr>
            <w:color w:val="000000"/>
            <w:u w:val="single"/>
            <w:rtl w:val="0"/>
          </w:rPr>
          <w:t xml:space="preserve">https://doi.org/10.1016/j.giq.2010.06.010</w:t>
        </w:r>
      </w:hyperlink>
      <w:r w:rsidDel="00000000" w:rsidR="00000000" w:rsidRPr="00000000">
        <w:rPr>
          <w:rtl w:val="0"/>
        </w:rPr>
      </w:r>
    </w:p>
    <w:p w:rsidR="00000000" w:rsidDel="00000000" w:rsidP="00000000" w:rsidRDefault="00000000" w:rsidRPr="00000000" w14:paraId="00000048">
      <w:pPr>
        <w:spacing w:line="240" w:lineRule="auto"/>
        <w:ind w:firstLine="851"/>
        <w:jc w:val="both"/>
        <w:rPr/>
      </w:pPr>
      <w:r w:rsidDel="00000000" w:rsidR="00000000" w:rsidRPr="00000000">
        <w:rPr>
          <w:rtl w:val="0"/>
        </w:rPr>
        <w:t xml:space="preserve">Bilhim, J. A. F. (2014). </w:t>
      </w:r>
      <w:r w:rsidDel="00000000" w:rsidR="00000000" w:rsidRPr="00000000">
        <w:rPr>
          <w:i w:val="1"/>
          <w:iCs w:val="1"/>
          <w:rtl w:val="0"/>
        </w:rPr>
        <w:t xml:space="preserve">Ciência da administração</w:t>
      </w:r>
      <w:r w:rsidDel="00000000" w:rsidR="00000000" w:rsidRPr="00000000">
        <w:rPr>
          <w:rtl w:val="0"/>
        </w:rPr>
        <w:t xml:space="preserve"> (3.ª ed.). Universidade Aberta.</w:t>
      </w:r>
    </w:p>
    <w:p w:rsidR="00000000" w:rsidDel="00000000" w:rsidP="00000000" w:rsidRDefault="00000000" w:rsidRPr="00000000" w14:paraId="00000049">
      <w:pPr>
        <w:spacing w:line="240" w:lineRule="auto"/>
        <w:ind w:firstLine="851"/>
        <w:jc w:val="both"/>
        <w:rPr/>
      </w:pPr>
      <w:r w:rsidDel="00000000" w:rsidR="00000000" w:rsidRPr="00000000">
        <w:rPr>
          <w:rtl w:val="0"/>
        </w:rPr>
        <w:t xml:space="preserve">Branco Jr., T. T., &amp; Fonseca, I. C. (2022). Um inquérito para verificação da cibersegurança nas organizações públicas municipais em Portugal. </w:t>
      </w:r>
      <w:r w:rsidDel="00000000" w:rsidR="00000000" w:rsidRPr="00000000">
        <w:rPr>
          <w:i w:val="1"/>
          <w:iCs w:val="1"/>
          <w:rtl w:val="0"/>
        </w:rPr>
        <w:t xml:space="preserve">Revista Ibérica de Sistemas e Tecnologias de Informação, 48</w:t>
      </w:r>
      <w:r w:rsidDel="00000000" w:rsidR="00000000" w:rsidRPr="00000000">
        <w:rPr>
          <w:rtl w:val="0"/>
        </w:rPr>
        <w:t xml:space="preserve">, 41–58. </w:t>
      </w:r>
      <w:hyperlink r:id="rId8">
        <w:r w:rsidDel="00000000" w:rsidR="00000000" w:rsidRPr="00000000">
          <w:rPr>
            <w:color w:val="000000"/>
            <w:u w:val="single"/>
            <w:rtl w:val="0"/>
          </w:rPr>
          <w:t xml:space="preserve">http://dx.doi.org/10.17013/risti.48.41-58</w:t>
        </w:r>
      </w:hyperlink>
      <w:r w:rsidDel="00000000" w:rsidR="00000000" w:rsidRPr="00000000">
        <w:rPr>
          <w:rtl w:val="0"/>
        </w:rPr>
      </w:r>
    </w:p>
    <w:p w:rsidR="00000000" w:rsidDel="00000000" w:rsidP="00000000" w:rsidRDefault="00000000" w:rsidRPr="00000000" w14:paraId="0000004A">
      <w:pPr>
        <w:spacing w:line="240" w:lineRule="auto"/>
        <w:ind w:firstLine="851"/>
        <w:jc w:val="both"/>
        <w:rPr/>
      </w:pPr>
      <w:r w:rsidDel="00000000" w:rsidR="00000000" w:rsidRPr="00000000">
        <w:rPr>
          <w:rtl w:val="0"/>
        </w:rPr>
        <w:t xml:space="preserve">Cárdenas, A. A., Radosavac, S., Grossklags, J., Chuang, J., &amp; Hoofnagle, C. (2009). </w:t>
      </w:r>
      <w:r w:rsidDel="00000000" w:rsidR="00000000" w:rsidRPr="00000000">
        <w:rPr>
          <w:i w:val="1"/>
          <w:iCs w:val="1"/>
          <w:rtl w:val="0"/>
        </w:rPr>
        <w:t xml:space="preserve">An economic map of cybercrime</w:t>
      </w:r>
      <w:r w:rsidDel="00000000" w:rsidR="00000000" w:rsidRPr="00000000">
        <w:rPr>
          <w:rtl w:val="0"/>
        </w:rPr>
        <w:t xml:space="preserve"> [Conference paper]. TPRC 2009. </w:t>
      </w:r>
      <w:hyperlink r:id="rId9">
        <w:r w:rsidDel="00000000" w:rsidR="00000000" w:rsidRPr="00000000">
          <w:rPr>
            <w:color w:val="000000"/>
            <w:u w:val="single"/>
            <w:rtl w:val="0"/>
          </w:rPr>
          <w:t xml:space="preserve">https://ssrn.com/abstract=1997795</w:t>
        </w:r>
      </w:hyperlink>
      <w:r w:rsidDel="00000000" w:rsidR="00000000" w:rsidRPr="00000000">
        <w:rPr>
          <w:rtl w:val="0"/>
        </w:rPr>
      </w:r>
    </w:p>
    <w:p w:rsidR="00000000" w:rsidDel="00000000" w:rsidP="00000000" w:rsidRDefault="00000000" w:rsidRPr="00000000" w14:paraId="0000004B">
      <w:pPr>
        <w:spacing w:line="240" w:lineRule="auto"/>
        <w:ind w:firstLine="851"/>
        <w:jc w:val="both"/>
        <w:rPr/>
      </w:pPr>
      <w:r w:rsidDel="00000000" w:rsidR="00000000" w:rsidRPr="00000000">
        <w:rPr>
          <w:rtl w:val="0"/>
        </w:rPr>
        <w:t xml:space="preserve">Christensen, T., &amp; Lægreid, P. (2007). The whole-of-government approach to public sector reform. </w:t>
      </w:r>
      <w:r w:rsidDel="00000000" w:rsidR="00000000" w:rsidRPr="00000000">
        <w:rPr>
          <w:i w:val="1"/>
          <w:iCs w:val="1"/>
          <w:rtl w:val="0"/>
        </w:rPr>
        <w:t xml:space="preserve">Public Administration Review, 67</w:t>
      </w:r>
      <w:r w:rsidDel="00000000" w:rsidR="00000000" w:rsidRPr="00000000">
        <w:rPr>
          <w:rtl w:val="0"/>
        </w:rPr>
        <w:t xml:space="preserve">(6), 1059–1066.</w:t>
      </w:r>
    </w:p>
    <w:p w:rsidR="00000000" w:rsidDel="00000000" w:rsidP="00000000" w:rsidRDefault="00000000" w:rsidRPr="00000000" w14:paraId="0000004C">
      <w:pPr>
        <w:spacing w:line="240" w:lineRule="auto"/>
        <w:ind w:firstLine="851"/>
        <w:jc w:val="both"/>
        <w:rPr/>
      </w:pPr>
      <w:r w:rsidDel="00000000" w:rsidR="00000000" w:rsidRPr="00000000">
        <w:rPr>
          <w:rtl w:val="0"/>
        </w:rPr>
        <w:t xml:space="preserve">Centro Nacional de Cibersegurança. (2026). </w:t>
      </w:r>
      <w:r w:rsidDel="00000000" w:rsidR="00000000" w:rsidRPr="00000000">
        <w:rPr>
          <w:i w:val="1"/>
          <w:iCs w:val="1"/>
          <w:rtl w:val="0"/>
        </w:rPr>
        <w:t xml:space="preserve">Página inicial</w:t>
      </w:r>
      <w:r w:rsidDel="00000000" w:rsidR="00000000" w:rsidRPr="00000000">
        <w:rPr>
          <w:rtl w:val="0"/>
        </w:rPr>
        <w:t xml:space="preserve">. https://www.cncs.gov.pt/</w:t>
      </w:r>
    </w:p>
    <w:p w:rsidR="00000000" w:rsidDel="00000000" w:rsidP="00000000" w:rsidRDefault="00000000" w:rsidRPr="00000000" w14:paraId="0000004D">
      <w:pPr>
        <w:spacing w:line="240" w:lineRule="auto"/>
        <w:ind w:firstLine="851"/>
        <w:jc w:val="both"/>
        <w:rPr/>
      </w:pPr>
      <w:r w:rsidDel="00000000" w:rsidR="00000000" w:rsidRPr="00000000">
        <w:rPr>
          <w:rtl w:val="0"/>
        </w:rPr>
        <w:t xml:space="preserve">Correia, P., Santos, S., &amp; Bilhim, J. (2016). Clusters de percepções sobre cibersegurança e cibercriminalidade em Portugal e as suas implicações para a implementação de políticas públicas nesse domínio. </w:t>
      </w:r>
      <w:r w:rsidDel="00000000" w:rsidR="00000000" w:rsidRPr="00000000">
        <w:rPr>
          <w:i w:val="1"/>
          <w:iCs w:val="1"/>
          <w:rtl w:val="0"/>
        </w:rPr>
        <w:t xml:space="preserve">Revista da FAE, 19</w:t>
      </w:r>
      <w:r w:rsidDel="00000000" w:rsidR="00000000" w:rsidRPr="00000000">
        <w:rPr>
          <w:rtl w:val="0"/>
        </w:rPr>
        <w:t xml:space="preserve">(2), 22–37. </w:t>
      </w:r>
      <w:hyperlink r:id="rId10">
        <w:r w:rsidDel="00000000" w:rsidR="00000000" w:rsidRPr="00000000">
          <w:rPr>
            <w:color w:val="000000"/>
            <w:u w:val="single"/>
            <w:rtl w:val="0"/>
          </w:rPr>
          <w:t xml:space="preserve">https://revistafae.fae.edu/revistafae/article/view/98</w:t>
        </w:r>
      </w:hyperlink>
      <w:r w:rsidDel="00000000" w:rsidR="00000000" w:rsidRPr="00000000">
        <w:rPr>
          <w:rtl w:val="0"/>
        </w:rPr>
      </w:r>
    </w:p>
    <w:p w:rsidR="00000000" w:rsidDel="00000000" w:rsidP="00000000" w:rsidRDefault="00000000" w:rsidRPr="00000000" w14:paraId="0000004E">
      <w:pPr>
        <w:spacing w:line="240" w:lineRule="auto"/>
        <w:ind w:firstLine="851"/>
        <w:jc w:val="both"/>
        <w:rPr/>
      </w:pPr>
      <w:r w:rsidDel="00000000" w:rsidR="00000000" w:rsidRPr="00000000">
        <w:rPr>
          <w:rtl w:val="0"/>
        </w:rPr>
        <w:t xml:space="preserve">Curtis, S. (2019). Digital transformation—The silver bullet to public service improvement? </w:t>
      </w:r>
      <w:r w:rsidDel="00000000" w:rsidR="00000000" w:rsidRPr="00000000">
        <w:rPr>
          <w:i w:val="1"/>
          <w:iCs w:val="1"/>
          <w:rtl w:val="0"/>
        </w:rPr>
        <w:t xml:space="preserve">Public Money &amp; Management, 39</w:t>
      </w:r>
      <w:r w:rsidDel="00000000" w:rsidR="00000000" w:rsidRPr="00000000">
        <w:rPr>
          <w:rtl w:val="0"/>
        </w:rPr>
        <w:t xml:space="preserve">(5), 322–324. </w:t>
      </w:r>
      <w:hyperlink r:id="rId11">
        <w:r w:rsidDel="00000000" w:rsidR="00000000" w:rsidRPr="00000000">
          <w:rPr>
            <w:color w:val="000000"/>
            <w:u w:val="single"/>
            <w:rtl w:val="0"/>
          </w:rPr>
          <w:t xml:space="preserve">https://doi.org/10.1080/09540962.2019.1611233</w:t>
        </w:r>
      </w:hyperlink>
      <w:r w:rsidDel="00000000" w:rsidR="00000000" w:rsidRPr="00000000">
        <w:rPr>
          <w:rtl w:val="0"/>
        </w:rPr>
      </w:r>
    </w:p>
    <w:p w:rsidR="00000000" w:rsidDel="00000000" w:rsidP="00000000" w:rsidRDefault="00000000" w:rsidRPr="00000000" w14:paraId="0000004F">
      <w:pPr>
        <w:spacing w:line="240" w:lineRule="auto"/>
        <w:ind w:firstLine="851"/>
        <w:jc w:val="both"/>
        <w:rPr/>
      </w:pPr>
      <w:r w:rsidDel="00000000" w:rsidR="00000000" w:rsidRPr="00000000">
        <w:rPr>
          <w:rtl w:val="0"/>
        </w:rPr>
        <w:t xml:space="preserve">Dias, R. C., &amp; Gomes, M. A. S. (2021). Do governo eletrónico à governança digital: Modelos e estratégias de governo transformacional. </w:t>
      </w:r>
      <w:r w:rsidDel="00000000" w:rsidR="00000000" w:rsidRPr="00000000">
        <w:rPr>
          <w:i w:val="1"/>
          <w:iCs w:val="1"/>
          <w:rtl w:val="0"/>
        </w:rPr>
        <w:t xml:space="preserve">Ciências e Políticas Públicas, 7</w:t>
      </w:r>
      <w:r w:rsidDel="00000000" w:rsidR="00000000" w:rsidRPr="00000000">
        <w:rPr>
          <w:rtl w:val="0"/>
        </w:rPr>
        <w:t xml:space="preserve">(1), 93–117. </w:t>
      </w:r>
      <w:hyperlink r:id="rId12">
        <w:r w:rsidDel="00000000" w:rsidR="00000000" w:rsidRPr="00000000">
          <w:rPr>
            <w:color w:val="000000"/>
            <w:u w:val="single"/>
            <w:rtl w:val="0"/>
          </w:rPr>
          <w:t xml:space="preserve">https://doi.org/10.33167/2184-0644.CPP2021.VVIIN1/pp.93-117</w:t>
        </w:r>
      </w:hyperlink>
      <w:r w:rsidDel="00000000" w:rsidR="00000000" w:rsidRPr="00000000">
        <w:rPr>
          <w:rtl w:val="0"/>
        </w:rPr>
      </w:r>
    </w:p>
    <w:p w:rsidR="00000000" w:rsidDel="00000000" w:rsidP="00000000" w:rsidRDefault="00000000" w:rsidRPr="00000000" w14:paraId="00000050">
      <w:pPr>
        <w:spacing w:line="240" w:lineRule="auto"/>
        <w:ind w:firstLine="851"/>
        <w:jc w:val="both"/>
        <w:rPr/>
      </w:pPr>
      <w:r w:rsidDel="00000000" w:rsidR="00000000" w:rsidRPr="00000000">
        <w:rPr>
          <w:rtl w:val="0"/>
        </w:rPr>
        <w:t xml:space="preserve">Dunleavy, P., Margetts, H., Bastow, S., &amp; Tinkler, J. (2005). New public management is dead—Long live digital-era governance. </w:t>
      </w:r>
      <w:r w:rsidDel="00000000" w:rsidR="00000000" w:rsidRPr="00000000">
        <w:rPr>
          <w:i w:val="1"/>
          <w:iCs w:val="1"/>
          <w:rtl w:val="0"/>
        </w:rPr>
        <w:t xml:space="preserve">Journal of Public Administration Research and Theory, 16</w:t>
      </w:r>
      <w:r w:rsidDel="00000000" w:rsidR="00000000" w:rsidRPr="00000000">
        <w:rPr>
          <w:rtl w:val="0"/>
        </w:rPr>
        <w:t xml:space="preserve">(3), 467–494. </w:t>
      </w:r>
      <w:hyperlink r:id="rId13">
        <w:r w:rsidDel="00000000" w:rsidR="00000000" w:rsidRPr="00000000">
          <w:rPr>
            <w:color w:val="000000"/>
            <w:u w:val="single"/>
            <w:rtl w:val="0"/>
          </w:rPr>
          <w:t xml:space="preserve">https://doi.org/10.1093/jopart/mui057</w:t>
        </w:r>
      </w:hyperlink>
      <w:r w:rsidDel="00000000" w:rsidR="00000000" w:rsidRPr="00000000">
        <w:rPr>
          <w:rtl w:val="0"/>
        </w:rPr>
      </w:r>
    </w:p>
    <w:p w:rsidR="00000000" w:rsidDel="00000000" w:rsidP="00000000" w:rsidRDefault="00000000" w:rsidRPr="00000000" w14:paraId="00000051">
      <w:pPr>
        <w:spacing w:line="240" w:lineRule="auto"/>
        <w:ind w:firstLine="851"/>
        <w:jc w:val="both"/>
        <w:rPr/>
      </w:pPr>
      <w:r w:rsidDel="00000000" w:rsidR="00000000" w:rsidRPr="00000000">
        <w:rPr>
          <w:rtl w:val="0"/>
        </w:rPr>
        <w:t xml:space="preserve">Erkut, B. (2020). From digital government to digital governance: Are we there yet? </w:t>
      </w:r>
      <w:r w:rsidDel="00000000" w:rsidR="00000000" w:rsidRPr="00000000">
        <w:rPr>
          <w:i w:val="1"/>
          <w:iCs w:val="1"/>
          <w:rtl w:val="0"/>
        </w:rPr>
        <w:t xml:space="preserve">Sustainability, 12</w:t>
      </w:r>
      <w:r w:rsidDel="00000000" w:rsidR="00000000" w:rsidRPr="00000000">
        <w:rPr>
          <w:rtl w:val="0"/>
        </w:rPr>
        <w:t xml:space="preserve">, 860. </w:t>
      </w:r>
      <w:hyperlink r:id="rId14">
        <w:r w:rsidDel="00000000" w:rsidR="00000000" w:rsidRPr="00000000">
          <w:rPr>
            <w:color w:val="000000"/>
            <w:u w:val="single"/>
            <w:rtl w:val="0"/>
          </w:rPr>
          <w:t xml:space="preserve">https://doi.org/10.3390/su12030860</w:t>
        </w:r>
      </w:hyperlink>
      <w:r w:rsidDel="00000000" w:rsidR="00000000" w:rsidRPr="00000000">
        <w:rPr>
          <w:rtl w:val="0"/>
        </w:rPr>
      </w:r>
    </w:p>
    <w:p w:rsidR="00000000" w:rsidDel="00000000" w:rsidP="00000000" w:rsidRDefault="00000000" w:rsidRPr="00000000" w14:paraId="00000052">
      <w:pPr>
        <w:spacing w:line="240" w:lineRule="auto"/>
        <w:ind w:firstLine="851"/>
        <w:jc w:val="both"/>
        <w:rPr/>
      </w:pPr>
      <w:r w:rsidDel="00000000" w:rsidR="00000000" w:rsidRPr="00000000">
        <w:rPr>
          <w:rtl w:val="0"/>
        </w:rPr>
        <w:t xml:space="preserve">Gouveia, J. B. (2021). Direito do ciberespaço e segurança cibernética. </w:t>
      </w:r>
      <w:r w:rsidDel="00000000" w:rsidR="00000000" w:rsidRPr="00000000">
        <w:rPr>
          <w:i w:val="1"/>
          <w:iCs w:val="1"/>
          <w:rtl w:val="0"/>
        </w:rPr>
        <w:t xml:space="preserve">Revista Jurídica Portucalense, 29</w:t>
      </w:r>
      <w:r w:rsidDel="00000000" w:rsidR="00000000" w:rsidRPr="00000000">
        <w:rPr>
          <w:rtl w:val="0"/>
        </w:rPr>
        <w:t xml:space="preserve">, 59–77. </w:t>
      </w:r>
      <w:hyperlink r:id="rId15">
        <w:r w:rsidDel="00000000" w:rsidR="00000000" w:rsidRPr="00000000">
          <w:rPr>
            <w:color w:val="000000"/>
            <w:u w:val="single"/>
            <w:rtl w:val="0"/>
          </w:rPr>
          <w:t xml:space="preserve">https://doi.org/10.34625/issn.2183-2705(29)2021.ic-04</w:t>
        </w:r>
      </w:hyperlink>
      <w:r w:rsidDel="00000000" w:rsidR="00000000" w:rsidRPr="00000000">
        <w:rPr>
          <w:rtl w:val="0"/>
        </w:rPr>
      </w:r>
    </w:p>
    <w:p w:rsidR="00000000" w:rsidDel="00000000" w:rsidP="00000000" w:rsidRDefault="00000000" w:rsidRPr="00000000" w14:paraId="00000053">
      <w:pPr>
        <w:spacing w:line="240" w:lineRule="auto"/>
        <w:ind w:firstLine="851"/>
        <w:jc w:val="both"/>
        <w:rPr/>
      </w:pPr>
      <w:r w:rsidDel="00000000" w:rsidR="00000000" w:rsidRPr="00000000">
        <w:rPr>
          <w:rtl w:val="0"/>
        </w:rPr>
        <w:t xml:space="preserve">Hood, C., &amp; Dixon, R. (2015). What we have to show for 30 years of new public management: Higher costs, more complaints. </w:t>
      </w:r>
      <w:r w:rsidDel="00000000" w:rsidR="00000000" w:rsidRPr="00000000">
        <w:rPr>
          <w:i w:val="1"/>
          <w:iCs w:val="1"/>
          <w:rtl w:val="0"/>
        </w:rPr>
        <w:t xml:space="preserve">Governance, 28</w:t>
      </w:r>
      <w:r w:rsidDel="00000000" w:rsidR="00000000" w:rsidRPr="00000000">
        <w:rPr>
          <w:rtl w:val="0"/>
        </w:rPr>
        <w:t xml:space="preserve">(3). </w:t>
      </w:r>
      <w:hyperlink r:id="rId16">
        <w:r w:rsidDel="00000000" w:rsidR="00000000" w:rsidRPr="00000000">
          <w:rPr>
            <w:color w:val="000000"/>
            <w:u w:val="single"/>
            <w:rtl w:val="0"/>
          </w:rPr>
          <w:t xml:space="preserve">https://doi.org/10.1111/gove.12150</w:t>
        </w:r>
      </w:hyperlink>
      <w:r w:rsidDel="00000000" w:rsidR="00000000" w:rsidRPr="00000000">
        <w:rPr>
          <w:rtl w:val="0"/>
        </w:rPr>
      </w:r>
    </w:p>
    <w:p w:rsidR="00000000" w:rsidDel="00000000" w:rsidP="00000000" w:rsidRDefault="00000000" w:rsidRPr="00000000" w14:paraId="00000054">
      <w:pPr>
        <w:spacing w:line="240" w:lineRule="auto"/>
        <w:ind w:firstLine="851"/>
        <w:jc w:val="both"/>
        <w:rPr/>
      </w:pPr>
      <w:r w:rsidDel="00000000" w:rsidR="00000000" w:rsidRPr="00000000">
        <w:rPr>
          <w:rtl w:val="0"/>
        </w:rPr>
        <w:t xml:space="preserve">Maia, T., &amp; Correia, P. (2022). E-government e sociedade digital. </w:t>
      </w:r>
      <w:r w:rsidDel="00000000" w:rsidR="00000000" w:rsidRPr="00000000">
        <w:rPr>
          <w:i w:val="1"/>
          <w:iCs w:val="1"/>
          <w:rtl w:val="0"/>
        </w:rPr>
        <w:t xml:space="preserve">Synesis, 14</w:t>
      </w:r>
      <w:r w:rsidDel="00000000" w:rsidR="00000000" w:rsidRPr="00000000">
        <w:rPr>
          <w:rtl w:val="0"/>
        </w:rPr>
        <w:t xml:space="preserve">(1), 184–206.</w:t>
      </w:r>
    </w:p>
    <w:p w:rsidR="00000000" w:rsidDel="00000000" w:rsidP="00000000" w:rsidRDefault="00000000" w:rsidRPr="00000000" w14:paraId="00000055">
      <w:pPr>
        <w:spacing w:line="240" w:lineRule="auto"/>
        <w:ind w:firstLine="851"/>
        <w:jc w:val="both"/>
        <w:rPr/>
      </w:pPr>
      <w:r w:rsidDel="00000000" w:rsidR="00000000" w:rsidRPr="00000000">
        <w:rPr>
          <w:rtl w:val="0"/>
        </w:rPr>
        <w:t xml:space="preserve">Pereira, S. (2020). </w:t>
      </w:r>
      <w:r w:rsidDel="00000000" w:rsidR="00000000" w:rsidRPr="00000000">
        <w:rPr>
          <w:i w:val="1"/>
          <w:iCs w:val="1"/>
          <w:rtl w:val="0"/>
        </w:rPr>
        <w:t xml:space="preserve">Movimentos pós-new public management: O new public service</w:t>
      </w:r>
      <w:r w:rsidDel="00000000" w:rsidR="00000000" w:rsidRPr="00000000">
        <w:rPr>
          <w:rtl w:val="0"/>
        </w:rPr>
        <w:t xml:space="preserve">. </w:t>
      </w:r>
      <w:hyperlink r:id="rId17">
        <w:r w:rsidDel="00000000" w:rsidR="00000000" w:rsidRPr="00000000">
          <w:rPr>
            <w:color w:val="000000"/>
            <w:u w:val="single"/>
            <w:rtl w:val="0"/>
          </w:rPr>
          <w:t xml:space="preserve">http://dx.doi.org/10.13140/RG.2.2.10761.98400</w:t>
        </w:r>
      </w:hyperlink>
      <w:r w:rsidDel="00000000" w:rsidR="00000000" w:rsidRPr="00000000">
        <w:rPr>
          <w:rtl w:val="0"/>
        </w:rPr>
      </w:r>
    </w:p>
    <w:p w:rsidR="00000000" w:rsidDel="00000000" w:rsidP="00000000" w:rsidRDefault="00000000" w:rsidRPr="00000000" w14:paraId="00000056">
      <w:pPr>
        <w:spacing w:line="240" w:lineRule="auto"/>
        <w:ind w:firstLine="851"/>
        <w:jc w:val="both"/>
        <w:rPr/>
      </w:pPr>
      <w:r w:rsidDel="00000000" w:rsidR="00000000" w:rsidRPr="00000000">
        <w:rPr>
          <w:rtl w:val="0"/>
        </w:rPr>
        <w:t xml:space="preserve">Spzor, G. (2021). The evolution of cybersecurity regulation in the European Union law and its implementation in Poland. </w:t>
      </w:r>
      <w:r w:rsidDel="00000000" w:rsidR="00000000" w:rsidRPr="00000000">
        <w:rPr>
          <w:i w:val="1"/>
          <w:iCs w:val="1"/>
          <w:rtl w:val="0"/>
        </w:rPr>
        <w:t xml:space="preserve">Review of European and Comparative Law, 46</w:t>
      </w:r>
      <w:r w:rsidDel="00000000" w:rsidR="00000000" w:rsidRPr="00000000">
        <w:rPr>
          <w:rtl w:val="0"/>
        </w:rPr>
        <w:t xml:space="preserve">(3), 219–235. </w:t>
      </w:r>
      <w:hyperlink r:id="rId18">
        <w:r w:rsidDel="00000000" w:rsidR="00000000" w:rsidRPr="00000000">
          <w:rPr>
            <w:color w:val="000000"/>
            <w:u w:val="single"/>
            <w:rtl w:val="0"/>
          </w:rPr>
          <w:t xml:space="preserve">https://doi.org/10.31743/recl.12645</w:t>
        </w:r>
      </w:hyperlink>
      <w:r w:rsidDel="00000000" w:rsidR="00000000" w:rsidRPr="00000000">
        <w:rPr>
          <w:rtl w:val="0"/>
        </w:rPr>
      </w:r>
    </w:p>
    <w:p w:rsidR="00000000" w:rsidDel="00000000" w:rsidP="00000000" w:rsidRDefault="00000000" w:rsidRPr="00000000" w14:paraId="00000057">
      <w:pPr>
        <w:spacing w:line="240" w:lineRule="auto"/>
        <w:ind w:firstLine="851"/>
        <w:jc w:val="both"/>
        <w:rPr>
          <w:color w:val="ee000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3">
    <w:lvl w:ilvl="0">
      <w:start w:val="1"/>
      <w:numFmt w:val="low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80/09540962.2019.1611233" TargetMode="External"/><Relationship Id="rId10" Type="http://schemas.openxmlformats.org/officeDocument/2006/relationships/hyperlink" Target="https://revistafae.fae.edu/revistafae/article/view/98" TargetMode="External"/><Relationship Id="rId13" Type="http://schemas.openxmlformats.org/officeDocument/2006/relationships/hyperlink" Target="https://doi.org/10.1093/jopart/mui057" TargetMode="External"/><Relationship Id="rId12" Type="http://schemas.openxmlformats.org/officeDocument/2006/relationships/hyperlink" Target="https://doi.org/10.33167/2184-0644.CPP2021.VVIIN1/pp.93-1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rn.com/abstract=1997795" TargetMode="External"/><Relationship Id="rId15" Type="http://schemas.openxmlformats.org/officeDocument/2006/relationships/hyperlink" Target="https://doi.org/10.34625/issn.2183-2705(29)2021.ic-04" TargetMode="External"/><Relationship Id="rId14" Type="http://schemas.openxmlformats.org/officeDocument/2006/relationships/hyperlink" Target="https://doi.org/10.3390/su12030860" TargetMode="External"/><Relationship Id="rId17" Type="http://schemas.openxmlformats.org/officeDocument/2006/relationships/hyperlink" Target="http://dx.doi.org/10.13140/RG.2.2.10761.98400" TargetMode="External"/><Relationship Id="rId16" Type="http://schemas.openxmlformats.org/officeDocument/2006/relationships/hyperlink" Target="https://doi.org/10.1111/gove.12150"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i.org/10.31743/recl.12645" TargetMode="External"/><Relationship Id="rId7" Type="http://schemas.openxmlformats.org/officeDocument/2006/relationships/hyperlink" Target="https://doi.org/10.1016/j.giq.2010.06.010" TargetMode="External"/><Relationship Id="rId8" Type="http://schemas.openxmlformats.org/officeDocument/2006/relationships/hyperlink" Target="http://dx.doi.org/10.17013/risti.48.41-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EIFmigbXe8sxIZxpX/An1CN+w==">CgMxLjA4AHIhMVJ4dTRWYmd4SUNuR1oxOGF1aVQxUEhBYXJrUjdsTjdB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