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PASTA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80"/>
        <w:gridCol w:w="6780"/>
        <w:tblGridChange w:id="0">
          <w:tblGrid>
            <w:gridCol w:w="2580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52vtqzpfabqd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Sneaker company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I. Define business and security objectives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app will process online transactions, possibly giving the chance to pay with google and apple wallet, this comprehend customers PII processing which needs to be protected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Users can create member profile or navigating as guest.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app should be in compliance with PCI-DSS.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II. Define the technical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of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technologies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used by the application: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Application programming interface (API)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Public key infrastructure (PKI)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SHA-256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APIs facilitate exchange of data between customers, employees and partners, so they should be prioritized. They handles several sensitive data while connecting users and system together.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technologies used should consider using strong security procedures to vulnerabilities because there’s a large attack surface.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III. Decompose application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</w:rPr>
              <w:drawing>
                <wp:inline distB="114300" distT="114300" distL="114300" distR="114300">
                  <wp:extent cx="4171950" cy="19685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IV. Threat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types of threats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are risks to the information being handled by the application.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SQL Injection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Session hijacking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V. Vulnerability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 vulnerabilities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in the PASTA worksheet that could be exploited.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code needs to handle error input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data stored and used in the database needs to be encrypted and salted.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Broken API token.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VI. Attack modeling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</w:rPr>
              <w:drawing>
                <wp:inline distB="114300" distT="114300" distL="114300" distR="114300">
                  <wp:extent cx="4171950" cy="19304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VII. Risk analysis and impact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List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4 security controls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that you’ve learned about that can reduce risk.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SHA-256, incident response procedures, password policy,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principle of least privilege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Diagram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580584" cy="3111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584" cy="311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593003" cy="304292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3003" cy="3042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