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b/>
          <w:sz w:val="24"/>
        </w:rPr>
        <w:t>CHAPTER I</w:t>
      </w:r>
    </w:p>
    <w:p>
      <w:pPr>
        <w:spacing w:line="360" w:lineRule="auto" w:before="0" w:after="360"/>
        <w:jc w:val="center"/>
      </w:pPr>
      <w:r>
        <w:rPr>
          <w:rFonts w:ascii="Times New Roman" w:hAnsi="Times New Roman"/>
          <w:b/>
          <w:sz w:val="24"/>
        </w:rPr>
        <w:t>Introduction</w:t>
      </w:r>
    </w:p>
    <w:p>
      <w:pPr>
        <w:spacing w:line="360" w:lineRule="auto" w:before="0" w:after="240"/>
        <w:jc w:val="both"/>
      </w:pPr>
      <w:r>
        <w:rPr>
          <w:rFonts w:ascii="Times New Roman" w:hAnsi="Times New Roman"/>
          <w:b w:val="0"/>
          <w:i w:val="0"/>
          <w:sz w:val="24"/>
        </w:rPr>
        <w:t>Micro, Small, and Medium Enterprises (MSMEs) form the backbone of the Philippine economy, accounting for 99.5% of all registered business establishments in the country and generating over 60% of total national employment (DTI, 2023). In their effort to remain competitive in an increasingly digital marketplace, local retail merchants, regional logistics couriers, boutique service providers, and online booking platforms have rapidly digitized their daily operations. These business platforms now routinely collect, process, and store sensitive customer information, including full legal names, active mobile telephone numbers, residential delivery addresses, and transactional histories.</w:t>
      </w:r>
    </w:p>
    <w:p>
      <w:pPr>
        <w:spacing w:line="360" w:lineRule="auto" w:before="0" w:after="240"/>
        <w:jc w:val="both"/>
      </w:pPr>
      <w:r>
        <w:rPr>
          <w:rFonts w:ascii="Times New Roman" w:hAnsi="Times New Roman"/>
          <w:b w:val="0"/>
          <w:i w:val="0"/>
          <w:sz w:val="24"/>
        </w:rPr>
        <w:t>However, this rapid digital transformation has occurred without a corresponding advancement in cybersecurity defense. According to an Asia-Pacific regional cybersecurity study, 57% of small and medium-sized enterprises in the Philippines suffered an active cyber incident within a twelve-month period, with 73% of affected Philippine SMBs reporting the direct loss of customer data to malicious threat actors (Cisco, 2021). Globally, empirical incident tracking confirms that the unauthorized use of stolen credentials remains the leading attack vector exploited by adversaries against internet-facing web applications (Verizon, 2024).</w:t>
      </w:r>
    </w:p>
    <w:p>
      <w:pPr>
        <w:spacing w:line="360" w:lineRule="auto" w:before="0" w:after="240"/>
        <w:jc w:val="both"/>
      </w:pPr>
      <w:r>
        <w:rPr>
          <w:rFonts w:ascii="Times New Roman" w:hAnsi="Times New Roman"/>
          <w:b w:val="0"/>
          <w:i w:val="0"/>
          <w:sz w:val="24"/>
        </w:rPr>
        <w:t>In the Philippines, threat investigations have revealed that the automated harvesting of customer databases feeds directly into the nationwide wave of personalized SMS phishing ("smishing"), where stolen subscriber identities and phone numbers are sold to criminal scam syndicates (Philippine Daily Inquirer, 2022). Unlike multi-billion-peso corporate conglomerates that maintain dedicated Security Operations Centers (SOCs) and expensive commercial monitoring appliances, local MSMEs operate with zero dedicated cybersecurity personnel. Consequently, when a data breach occurs, it frequently goes undetected for weeks, allowing automated scraping bots to exfiltrate entire customer directories unnoticed. There is an urgent, evidenced need for an accessible, automated security framework designed to protect local small businesses from catastrophic data exposure.</w:t>
      </w:r>
    </w:p>
    <w:p>
      <w:pPr>
        <w:keepNext/>
        <w:spacing w:line="360" w:lineRule="auto" w:before="360" w:after="240"/>
        <w:jc w:val="left"/>
      </w:pPr>
      <w:r>
        <w:rPr>
          <w:rFonts w:ascii="Times New Roman" w:hAnsi="Times New Roman"/>
          <w:b/>
          <w:sz w:val="24"/>
        </w:rPr>
        <w:t>Background of the Study</w:t>
      </w:r>
    </w:p>
    <w:p>
      <w:pPr>
        <w:spacing w:line="360" w:lineRule="auto" w:before="0" w:after="240"/>
        <w:jc w:val="both"/>
      </w:pPr>
      <w:r>
        <w:rPr>
          <w:rFonts w:ascii="Times New Roman" w:hAnsi="Times New Roman"/>
          <w:b w:val="0"/>
          <w:i w:val="0"/>
          <w:sz w:val="24"/>
        </w:rPr>
        <w:t>Traditional web security frameworks operate on an outdated "Castle Mindset," presuming that perimeter firewalls and login authentication screens are sufficient to keep unauthorized entities out. In real-world enterprise environments, however, human employees are consistently vulnerable to spear-phishing campaigns and password reuse leaks. Once an attacker obtains valid staff credentials, conventional access control systems treat the intruder as a fully trusted user. Rather than browsing normally, the adversary executes automated scraper scripts to query backend database endpoints rapid-fire, downloading thousands of customer records within seconds.</w:t>
      </w:r>
    </w:p>
    <w:p>
      <w:pPr>
        <w:spacing w:line="360" w:lineRule="auto" w:before="0" w:after="240"/>
        <w:jc w:val="both"/>
      </w:pPr>
      <w:r>
        <w:rPr>
          <w:rFonts w:ascii="Times New Roman" w:hAnsi="Times New Roman"/>
          <w:b w:val="0"/>
          <w:i w:val="0"/>
          <w:sz w:val="24"/>
        </w:rPr>
        <w:t>Compounding this operational vulnerability is strict regulatory pressure under Republic Act No. 10173, known as the Data Privacy Act of 2012 (DPA). Under NPC Circular No. 16-03, the National Privacy Commission legally mandates that any security incident involving personal sensitive data must be formally contained and reported within seventy-two (72) hours of discovery—a statutory deadline that runs continuously through weekends and holidays (NPC, 2016). Violations carry administrative penalties reaching up to five million pesos (PHP 5,000,000), alongside civil damages and criminal liabilities. Non-technical MSME operators currently lack both the forensic logging tools to identify which specific records were stolen and the technical expertise to compile formal incident documentation within 72 hours.</w:t>
      </w:r>
    </w:p>
    <w:p>
      <w:pPr>
        <w:spacing w:line="360" w:lineRule="auto" w:before="0" w:after="240"/>
        <w:jc w:val="both"/>
      </w:pPr>
      <w:r>
        <w:rPr>
          <w:rFonts w:ascii="Times New Roman" w:hAnsi="Times New Roman"/>
          <w:b w:val="0"/>
          <w:i w:val="0"/>
          <w:sz w:val="24"/>
        </w:rPr>
        <w:t>Commercial enterprise security suites (such as Splunk or CrowdStrike) require annual licensing fees exceeding PHP 500,000, rendering them financially unattainable for local enterprises. To address this critical gap, this study introduces TripwireJS: an automated, serverless data breach containment system engineered directly within the Google Firebase cloud ecosystem. Operating on the industry-standard "Assumed Breach" model, TripwireJS functions as an invisible digital tripwire on the database. It continuously tracks query velocities per authenticated user session. When an account exhibits bot-speed scraping behavior, the system trips an automated kill-switch, revokes the user's session token mid-attack, sends an emergency SMS to the business owner via the Semaphore API, and auto-generates a pre-filled National Privacy Commission (NPC) 72-hour breach incident report.</w:t>
      </w:r>
    </w:p>
    <w:p>
      <w:pPr>
        <w:keepNext/>
        <w:spacing w:line="360" w:lineRule="auto" w:before="360" w:after="240"/>
        <w:jc w:val="left"/>
      </w:pPr>
      <w:r>
        <w:rPr>
          <w:rFonts w:ascii="Times New Roman" w:hAnsi="Times New Roman"/>
          <w:b/>
          <w:sz w:val="24"/>
        </w:rPr>
        <w:t>Statement of the Problem</w:t>
      </w:r>
    </w:p>
    <w:p>
      <w:pPr>
        <w:spacing w:line="360" w:lineRule="auto" w:before="0" w:after="240"/>
        <w:jc w:val="both"/>
      </w:pPr>
      <w:r>
        <w:rPr>
          <w:rFonts w:ascii="Times New Roman" w:hAnsi="Times New Roman"/>
          <w:b w:val="0"/>
          <w:i w:val="0"/>
          <w:sz w:val="24"/>
        </w:rPr>
        <w:t>Philippine small and medium enterprises operating web-based database platforms lack automated, cost-effective breach containment mechanisms to intercept unauthorized bulk data exfiltration conducted through valid, compromised user credentials. This deficiency leads to total customer data loss, unmonitored breach blast radiuses, and widespread non-compliance with the National Privacy Commission's mandatory 72-hour breach notification deadline under Republic Act No. 10173.</w:t>
      </w:r>
    </w:p>
    <w:p>
      <w:pPr>
        <w:spacing w:line="360" w:lineRule="auto" w:before="0" w:after="240"/>
        <w:jc w:val="both"/>
      </w:pPr>
      <w:r>
        <w:rPr>
          <w:rFonts w:ascii="Times New Roman" w:hAnsi="Times New Roman"/>
          <w:b w:val="0"/>
          <w:i w:val="0"/>
          <w:sz w:val="24"/>
        </w:rPr>
        <w:t>Specifically, this study aims to address the following technical problems:</w:t>
      </w:r>
    </w:p>
    <w:p>
      <w:pPr>
        <w:spacing w:line="360" w:lineRule="auto" w:before="0" w:after="240"/>
        <w:jc w:val="both"/>
      </w:pPr>
      <w:r>
        <w:rPr>
          <w:rFonts w:ascii="Times New Roman" w:hAnsi="Times New Roman"/>
          <w:b w:val="0"/>
          <w:i w:val="0"/>
          <w:sz w:val="24"/>
        </w:rPr>
        <w:t>1. How can backend query velocity per authenticated user session be continuously tracked in real time within a Google Firebase architecture to reliably differentiate normal human browsing from automated bot scraping?</w:t>
      </w:r>
    </w:p>
    <w:p>
      <w:pPr>
        <w:spacing w:line="360" w:lineRule="auto" w:before="0" w:after="240"/>
        <w:jc w:val="both"/>
      </w:pPr>
      <w:r>
        <w:rPr>
          <w:rFonts w:ascii="Times New Roman" w:hAnsi="Times New Roman"/>
          <w:b w:val="0"/>
          <w:i w:val="0"/>
          <w:sz w:val="24"/>
        </w:rPr>
        <w:t>2. What automated session revocation mechanism can be engineered using the Firebase Admin SDK to instantly neutralize compromised credentials and compress the data breach blast radius to under 1% of total database records?</w:t>
      </w:r>
    </w:p>
    <w:p>
      <w:pPr>
        <w:spacing w:line="360" w:lineRule="auto" w:before="0" w:after="240"/>
        <w:jc w:val="both"/>
      </w:pPr>
      <w:r>
        <w:rPr>
          <w:rFonts w:ascii="Times New Roman" w:hAnsi="Times New Roman"/>
          <w:b w:val="0"/>
          <w:i w:val="0"/>
          <w:sz w:val="24"/>
        </w:rPr>
        <w:t>3. How can the system automate real-time incident alerting to the business owner's mobile device via a local telecommunications gateway (Semaphore SMS API) and auto-populate a pre-formatted National Privacy Commission (NPC) 72-hour breach notification draft report?</w:t>
      </w:r>
    </w:p>
    <w:p>
      <w:pPr>
        <w:spacing w:line="360" w:lineRule="auto" w:before="0" w:after="240"/>
        <w:jc w:val="both"/>
      </w:pPr>
      <w:r>
        <w:rPr>
          <w:rFonts w:ascii="Times New Roman" w:hAnsi="Times New Roman"/>
          <w:b w:val="0"/>
          <w:i w:val="0"/>
          <w:sz w:val="24"/>
        </w:rPr>
        <w:t>4. How acceptable, effective, and usable is the proposed TripwireJS system when evaluated by IT cybersecurity practitioners and SME operators across ISO/IEC 25010 software quality criteria?</w:t>
      </w:r>
    </w:p>
    <w:p>
      <w:pPr>
        <w:keepNext/>
        <w:spacing w:line="360" w:lineRule="auto" w:before="360" w:after="240"/>
        <w:jc w:val="left"/>
      </w:pPr>
      <w:r>
        <w:rPr>
          <w:rFonts w:ascii="Times New Roman" w:hAnsi="Times New Roman"/>
          <w:b/>
          <w:sz w:val="24"/>
        </w:rPr>
        <w:t>Scope and Limitations</w:t>
      </w:r>
    </w:p>
    <w:p>
      <w:pPr>
        <w:spacing w:line="360" w:lineRule="auto" w:before="0" w:after="240"/>
        <w:jc w:val="both"/>
      </w:pPr>
      <w:r>
        <w:rPr>
          <w:rFonts w:ascii="Times New Roman" w:hAnsi="Times New Roman"/>
          <w:b w:val="0"/>
          <w:i w:val="0"/>
          <w:sz w:val="24"/>
        </w:rPr>
        <w:t>To ensure operational focus, technical rigor, and feasibility within a strict three-month undergraduate development timeframe, the boundaries of the system are formally established as follows:</w:t>
      </w:r>
    </w:p>
    <w:p>
      <w:pPr>
        <w:spacing w:line="360" w:lineRule="auto" w:before="0" w:after="240"/>
        <w:jc w:val="both"/>
      </w:pPr>
      <w:r>
        <w:rPr>
          <w:rFonts w:ascii="Times New Roman" w:hAnsi="Times New Roman"/>
          <w:b w:val="0"/>
          <w:i w:val="0"/>
          <w:sz w:val="24"/>
        </w:rPr>
        <w:t>Scope. The project delivers a functional, tested serverless security middleware and administrative console tailored for a representative Philippine MSME web application (such as a local delivery tracking portal or appointment service system). The functional scope includes: (a) real-time query velocity tracking per authenticated Firebase user ID (uid); (b) an automated two-tier defense mechanism featuring a velocity kill-switch that revokes active session tokens when queries exceed 30 records within a 5-second interval, alongside a daily quota ceiling of 50 records per staff account to neutralize low-and-slow scraping attacks; (c) a zero-cost web administration dashboard styled with standard CSS and hosted on Firebase Hosting, providing live threat telemetry via Firestore's real-time onSnapshot() listeners; and (d) an automated incident response pipeline that dispatches instant SMS alerts via the Semaphore API and compiles a structured PDF/JSON breach draft report compliant with NPC circulars.</w:t>
      </w:r>
    </w:p>
    <w:p>
      <w:pPr>
        <w:spacing w:line="360" w:lineRule="auto" w:before="0" w:after="240"/>
        <w:jc w:val="both"/>
      </w:pPr>
      <w:r>
        <w:rPr>
          <w:rFonts w:ascii="Times New Roman" w:hAnsi="Times New Roman"/>
          <w:b w:val="0"/>
          <w:i w:val="0"/>
          <w:sz w:val="24"/>
        </w:rPr>
        <w:t>Limitations. The system is strictly delimited to post-authentication application-layer database protection. The limitations include: (a) the system will not protect physical hardware devices, local office Wi-Fi networks, or physical point-of-sale (POS) terminals; (b) the system will not intercept or secure third-party financial transaction processing (such as raw GCash, Maya, or bank gateway handshakes); (c) the system does not prevent initial credential theft (such as phishing or social engineering), functioning strictly as an internal containment tool once an account is compromised; and (d) the system contains strictly zero inventory or stock control modules, adhering strictly to institutional capstone guidelines.</w:t>
      </w:r>
    </w:p>
    <w:p>
      <w:pPr>
        <w:keepNext/>
        <w:spacing w:line="360" w:lineRule="auto" w:before="360" w:after="240"/>
        <w:jc w:val="left"/>
      </w:pPr>
      <w:r>
        <w:rPr>
          <w:rFonts w:ascii="Times New Roman" w:hAnsi="Times New Roman"/>
          <w:b/>
          <w:sz w:val="24"/>
        </w:rPr>
        <w:t>Significance of the Study</w:t>
      </w:r>
    </w:p>
    <w:p>
      <w:pPr>
        <w:spacing w:line="360" w:lineRule="auto" w:before="0" w:after="240"/>
        <w:jc w:val="both"/>
      </w:pPr>
      <w:r>
        <w:rPr>
          <w:rFonts w:ascii="Times New Roman" w:hAnsi="Times New Roman"/>
          <w:b w:val="0"/>
          <w:i w:val="0"/>
          <w:sz w:val="24"/>
        </w:rPr>
        <w:t>The development and deployment of TripwireJS provide tangible institutional, societal, and technical benefits distributed across three primary stakeholder groups:</w:t>
      </w:r>
    </w:p>
    <w:p>
      <w:pPr>
        <w:spacing w:line="360" w:lineRule="auto" w:before="0" w:after="240"/>
        <w:jc w:val="both"/>
      </w:pPr>
      <w:r>
        <w:rPr>
          <w:rFonts w:ascii="Times New Roman" w:hAnsi="Times New Roman"/>
          <w:b w:val="0"/>
          <w:i w:val="0"/>
          <w:sz w:val="24"/>
        </w:rPr>
        <w:t>To Philippine MSME Owners. The system delivers an enterprise-grade breach containment mechanism at zero software licensing cost. By replacing human detection delays with automated sub-second containment, it protects small business owners from catastrophic data exfiltration, preserves customer trust, and automates mandatory incident documentation to shield the enterprise from devastating administrative fines under RA 10173.</w:t>
      </w:r>
    </w:p>
    <w:p>
      <w:pPr>
        <w:spacing w:line="360" w:lineRule="auto" w:before="0" w:after="240"/>
        <w:jc w:val="both"/>
      </w:pPr>
      <w:r>
        <w:rPr>
          <w:rFonts w:ascii="Times New Roman" w:hAnsi="Times New Roman"/>
          <w:b w:val="0"/>
          <w:i w:val="0"/>
          <w:sz w:val="24"/>
        </w:rPr>
        <w:t>To the Filipino Consumer and the General Public. Every digital interaction leaves a trail of sensitive personal information. By compressing the breach blast radius from 100% of the customer database down to less than 1%, TripwireJS ensures that the vast majority of citizen profiles remain completely unexposed. Furthermore, stopping bulk data dumping directly chokes off the black-market supply chain feeding stolen contact numbers to nationwide text-scam syndicates.</w:t>
      </w:r>
    </w:p>
    <w:p>
      <w:pPr>
        <w:spacing w:line="360" w:lineRule="auto" w:before="0" w:after="240"/>
        <w:jc w:val="both"/>
      </w:pPr>
      <w:r>
        <w:rPr>
          <w:rFonts w:ascii="Times New Roman" w:hAnsi="Times New Roman"/>
          <w:b w:val="0"/>
          <w:i w:val="0"/>
          <w:sz w:val="24"/>
        </w:rPr>
        <w:t>To Local Web Developers and the Academic Community. The study provides an open-source, reproducible security blueprint demonstrating how local software engineers can integrate real-time velocity tripwires into standard Firebase web applications. Additionally, it contributes empirical benchmark data on query rate limits, token revocation latency, and blast radius reduction under simulated bot scraping attacks.</w:t>
      </w:r>
    </w:p>
    <w:p>
      <w:pPr>
        <w:keepNext/>
        <w:spacing w:line="360" w:lineRule="auto" w:before="360" w:after="240"/>
        <w:jc w:val="left"/>
      </w:pPr>
      <w:r>
        <w:rPr>
          <w:rFonts w:ascii="Times New Roman" w:hAnsi="Times New Roman"/>
          <w:b/>
          <w:sz w:val="24"/>
        </w:rPr>
        <w:t>System Implementation and Operational Flow</w:t>
      </w:r>
    </w:p>
    <w:p>
      <w:pPr>
        <w:spacing w:line="360" w:lineRule="auto" w:before="0" w:after="240"/>
        <w:jc w:val="both"/>
      </w:pPr>
      <w:r>
        <w:rPr>
          <w:rFonts w:ascii="Times New Roman" w:hAnsi="Times New Roman"/>
          <w:b w:val="0"/>
          <w:i w:val="0"/>
          <w:sz w:val="24"/>
        </w:rPr>
        <w:t>TripwireJS is engineered as a 100% serverless, cloud-native architecture running entirely within the free Google Firebase tier. The security engine consists of a Firebase Cloud Function that intercepts customer database read requests. For every incoming request, the function decodes the user's Firebase Auth token, tracks query timestamps over a rolling 5-second sliding window, and evaluates velocity against established thresholds. Application customer records and immutable threat logs are maintained within Cloud Firestore. The web-based administrative console is built using standard HTML, JavaScript, and custom CSS, hosted on Firebase Hosting with zero server maintenance overhead.</w:t>
      </w:r>
    </w:p>
    <w:p>
      <w:pPr>
        <w:spacing w:line="360" w:lineRule="auto" w:before="0" w:after="240"/>
        <w:jc w:val="both"/>
      </w:pPr>
      <w:r>
        <w:rPr>
          <w:rFonts w:ascii="Times New Roman" w:hAnsi="Times New Roman"/>
          <w:b w:val="0"/>
          <w:i w:val="0"/>
          <w:sz w:val="24"/>
        </w:rPr>
        <w:t>In practice, the system responds to an active breach through an automated sequential workflow. When an attacker logs in using stolen staff credentials and launches an automated bot scraper (e.g., via a Python script or Postman runner), queries 1 through 30 pass through within 3 seconds. At query #31, the velocity threshold of 30 queries in 5 seconds is breached. The digital tripwire trips immediately, invoking admin.auth().revokeRefreshTokens(userId). The active session is invalidated across Google's cloud, causing all subsequent requests from the scraper to fail with HTTP 401 Unauthorized. The breach is halted mid-attack, compressing data loss to less than 1% of the database.</w:t>
      </w:r>
    </w:p>
    <w:p>
      <w:pPr>
        <w:spacing w:line="360" w:lineRule="auto" w:before="0" w:after="240"/>
        <w:jc w:val="both"/>
      </w:pPr>
      <w:r>
        <w:rPr>
          <w:rFonts w:ascii="Times New Roman" w:hAnsi="Times New Roman"/>
          <w:b w:val="0"/>
          <w:i w:val="0"/>
          <w:sz w:val="24"/>
        </w:rPr>
        <w:t>Within seconds of containment, the system records the forensic telemetry into Firestore's threat_logs collection and fires an outbound webhook to the Semaphore SMS API, alerting the business owner's mobile phone. The owner accesses the administrative dashboard to review the incident and clicks a single button to generate the official NPC 72-Hour Breach Incident Draft Report (PDF/JSON). Furthermore, adhering to Section 20 of RA 10173, because the system logs the exact record IDs touched prior to lockout, the business owner is equipped to issue direct, personalized security advisories to the initial affected data subjects while keeping the remaining 99% of customer records fully secure.</w:t>
      </w:r>
    </w:p>
    <w:p>
      <w:pPr>
        <w:keepNext/>
        <w:spacing w:line="360" w:lineRule="auto" w:before="360" w:after="240"/>
        <w:jc w:val="left"/>
      </w:pPr>
      <w:r>
        <w:rPr>
          <w:rFonts w:ascii="Times New Roman" w:hAnsi="Times New Roman"/>
          <w:b/>
          <w:sz w:val="24"/>
        </w:rPr>
        <w:t>References</w:t>
      </w:r>
    </w:p>
    <w:p>
      <w:pPr>
        <w:spacing w:line="360" w:lineRule="auto" w:before="0" w:after="240"/>
        <w:ind w:left="720" w:hanging="720"/>
        <w:jc w:val="both"/>
      </w:pPr>
      <w:r>
        <w:rPr>
          <w:rFonts w:ascii="Times New Roman" w:hAnsi="Times New Roman"/>
          <w:b/>
          <w:sz w:val="24"/>
        </w:rPr>
        <w:t xml:space="preserve">Cisco Systems. (2021). </w:t>
      </w:r>
      <w:r>
        <w:rPr>
          <w:rFonts w:ascii="Times New Roman" w:hAnsi="Times New Roman"/>
          <w:sz w:val="24"/>
        </w:rPr>
        <w:t>Cybersecurity for SMBs: Asia Pacific Businesses Prepare for Digital Defense. Cisco Cybersecurity Report. Retrieved from https://www.bworldonline.com/technology/2021/10/26/406085/57-of-philippine-smbs-suffered-a-cyberattack-in-the-past-year-cisco-study/</w:t>
      </w:r>
    </w:p>
    <w:p>
      <w:pPr>
        <w:spacing w:line="360" w:lineRule="auto" w:before="0" w:after="240"/>
        <w:ind w:left="720" w:hanging="720"/>
        <w:jc w:val="both"/>
      </w:pPr>
      <w:r>
        <w:rPr>
          <w:rFonts w:ascii="Times New Roman" w:hAnsi="Times New Roman"/>
          <w:b/>
          <w:sz w:val="24"/>
        </w:rPr>
        <w:t xml:space="preserve">Department of Trade and Industry. (2023). </w:t>
      </w:r>
      <w:r>
        <w:rPr>
          <w:rFonts w:ascii="Times New Roman" w:hAnsi="Times New Roman"/>
          <w:sz w:val="24"/>
        </w:rPr>
        <w:t>2022–2023 MSME Statistics in the Philippines. DTI Bureau of Small and Medium Enterprise Development. Retrieved from https://www.dti.gov.ph/resources/msme-statistics/</w:t>
      </w:r>
    </w:p>
    <w:p>
      <w:pPr>
        <w:spacing w:line="360" w:lineRule="auto" w:before="0" w:after="240"/>
        <w:ind w:left="720" w:hanging="720"/>
        <w:jc w:val="both"/>
      </w:pPr>
      <w:r>
        <w:rPr>
          <w:rFonts w:ascii="Times New Roman" w:hAnsi="Times New Roman"/>
          <w:b/>
          <w:sz w:val="24"/>
        </w:rPr>
        <w:t xml:space="preserve">National Privacy Commission. (2016). </w:t>
      </w:r>
      <w:r>
        <w:rPr>
          <w:rFonts w:ascii="Times New Roman" w:hAnsi="Times New Roman"/>
          <w:sz w:val="24"/>
        </w:rPr>
        <w:t>NPC Circular No. 16-03: Personal Data Breach Management. Republic of the Philippines. Retrieved from https://privacy.gov.ph/memorandum-circulars/npc-circular-no-16-03-personal-data-breach-management/</w:t>
      </w:r>
    </w:p>
    <w:p>
      <w:pPr>
        <w:spacing w:line="360" w:lineRule="auto" w:before="0" w:after="240"/>
        <w:ind w:left="720" w:hanging="720"/>
        <w:jc w:val="both"/>
      </w:pPr>
      <w:r>
        <w:rPr>
          <w:rFonts w:ascii="Times New Roman" w:hAnsi="Times New Roman"/>
          <w:b/>
          <w:sz w:val="24"/>
        </w:rPr>
        <w:t xml:space="preserve">Philippine Daily Inquirer. (2022). </w:t>
      </w:r>
      <w:r>
        <w:rPr>
          <w:rFonts w:ascii="Times New Roman" w:hAnsi="Times New Roman"/>
          <w:sz w:val="24"/>
        </w:rPr>
        <w:t>Personalized text scams, NPC, telecoms scramble for answers. Inquirer News. Retrieved from https://newsinfo.inquirer.net/1659972/personalized-text-scams-npc-telecoms-scramble-for-answers</w:t>
      </w:r>
    </w:p>
    <w:p>
      <w:pPr>
        <w:spacing w:line="360" w:lineRule="auto" w:before="0" w:after="240"/>
        <w:ind w:left="720" w:hanging="720"/>
        <w:jc w:val="both"/>
      </w:pPr>
      <w:r>
        <w:rPr>
          <w:rFonts w:ascii="Times New Roman" w:hAnsi="Times New Roman"/>
          <w:b/>
          <w:sz w:val="24"/>
        </w:rPr>
        <w:t xml:space="preserve">Verizon Enterprise. (2024). </w:t>
      </w:r>
      <w:r>
        <w:rPr>
          <w:rFonts w:ascii="Times New Roman" w:hAnsi="Times New Roman"/>
          <w:sz w:val="24"/>
        </w:rPr>
        <w:t>Data Breach Investigations Report (DBIR): Web Applications and System Intrusion. Verizon Business. Retrieved from https://www.verizon.com/business/resources/reports/dbir/</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