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Creazione Azure Key Vault per Databricks</w:t>
      </w:r>
    </w:p>
    <w:p>
      <w:pPr>
        <w:pBdr>
          <w:bottom w:val="single" w:color="2E5496" w:sz="12" w:space="4"/>
        </w:pBdr>
        <w:spacing w:after="60"/>
      </w:pPr>
      <w:r>
        <w:rPr>
          <w:color w:val="2E5496"/>
          <w:sz w:val="24"/>
          <w:szCs w:val="24"/>
        </w:rPr>
        <w:t xml:space="preserve">Guida operativa per l’implementazione via script / API</w:t>
      </w:r>
    </w:p>
    <w:p>
      <w:pPr>
        <w:spacing w:after="320"/>
      </w:pPr>
      <w:r>
        <w:rPr>
          <w:i/>
          <w:iCs/>
          <w:color w:val="767171"/>
          <w:sz w:val="19"/>
          <w:szCs w:val="19"/>
        </w:rPr>
        <w:t xml:space="preserve">Versione 1.0 – Uso interno – Processo di evasione RITM “Secret Vault”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Scopo e destinatari</w:t>
      </w:r>
    </w:p>
    <w:p>
      <w:pPr>
        <w:spacing w:after="120" w:line="276"/>
      </w:pPr>
      <w:r>
        <w:rPr>
          <w:sz w:val="21"/>
          <w:szCs w:val="21"/>
        </w:rPr>
        <w:t xml:space="preserve">Questo documento descrive la procedura standard di creazione di un Azure Key Vault destinato all’utilizzo da parte di Databricks, e la successiva creazione del relativo secret scope sul workspace Databricks.</w:t>
      </w:r>
    </w:p>
    <w:p>
      <w:pPr>
        <w:spacing w:after="120" w:line="276"/>
      </w:pPr>
      <w:r>
        <w:rPr>
          <w:sz w:val="21"/>
          <w:szCs w:val="21"/>
        </w:rPr>
        <w:t xml:space="preserve">La procedura è descritta in due forme parallele: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 passi da portale Azure, che costituiscono il riferimento funzionale del processo;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 corrispondenti parametri di Azure CLI, REST API e template ARM/Bicep, per chi deve automatizzare la creazione.</w:t>
      </w:r>
    </w:p>
    <w:p>
      <w:pPr>
        <w:spacing w:after="120" w:line="276"/>
      </w:pPr>
      <w:r>
        <w:rPr>
          <w:sz w:val="21"/>
          <w:szCs w:val="21"/>
        </w:rPr>
        <w:t xml:space="preserve">Il destinatario è lo sviluppatore che implementa il processo in modo automatizzato: la configurazione target è vincolante e deve essere riprodotta identicamente dallo script, indipendentemente dallo strumento utilizzato.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Prerequisiti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Utenza abilitata al tenant Azure aziendale e client autenticato (portale, Azure CLI o service principal).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Sottoscrizione PIM ISP_PROD_KEYVAULT_SEC attivata (vedere par. 4.1). Senza attivazione le chiamate falliscono con errore di autorizzazione.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Permessi di scrittura sul control plane del Key Vault (ruolo Key Vault Contributor, Contributor o Owner sul resource group di destinazione).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RITM ServiceNow di riferimento con il file Excel allegato, che contiene tutti i valori di input.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Azure CLI aggiornata (az) e, per lo scope, Databricks CLI versione 0.205 o superiore.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URL del workspace Databricks di destinazione, indicato nella RITM.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Dati di input</w:t>
      </w:r>
    </w:p>
    <w:p>
      <w:pPr>
        <w:spacing w:after="120" w:line="276"/>
      </w:pPr>
      <w:r>
        <w:rPr>
          <w:sz w:val="21"/>
          <w:szCs w:val="21"/>
        </w:rPr>
        <w:t xml:space="preserve">Tutti i valori variabili provengono dall’Excel allegato alla RITM. Lo script non deve mai dedurli o assumerli per convenzione.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Parametro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Descrizione</w:t>
            </w:r>
          </w:p>
        </w:tc>
        <w:tc>
          <w:tcPr>
            <w:tcW w:type="dxa" w:w="3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Sottoscrizione Azure in cui creare il vault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allegato alla 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group di destinazione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allegato alla 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Key Vault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della risorsa (univoco a livello globale)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allegato alla 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Area geografica di deploy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allegato alla 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"acronimo"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 del tag custom obbligatorio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Excel allegato alla 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 workspace Databricks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URL per la creazione dello scope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RITM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scope Databricks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vault con prefisso "kv" sostituito da "sc"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Derivato dal nome del vault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Configurazione target del Key Vault</w:t>
      </w:r>
    </w:p>
    <w:p>
      <w:pPr>
        <w:spacing w:after="120" w:line="276"/>
      </w:pPr>
      <w:r>
        <w:rPr>
          <w:sz w:val="21"/>
          <w:szCs w:val="21"/>
        </w:rPr>
        <w:t xml:space="preserve">La tabella seguente è il riferimento univoco della configurazione richiesta e mappa ogni impostazione del portale sul corrispondente parametro CLI e sulla proprietà ARM/REST.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700"/>
        <w:gridCol w:w="2450"/>
        <w:gridCol w:w="2500"/>
      </w:tblGrid>
      <w:tr>
        <w:trPr>
          <w:tblHeader/>
        </w:trPr>
        <w:tc>
          <w:tcPr>
            <w:tcW w:type="dxa" w:w="2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Impostazione (portale)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Valore richiesto</w:t>
            </w:r>
          </w:p>
        </w:tc>
        <w:tc>
          <w:tcPr>
            <w:tcW w:type="dxa" w:w="24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Azure CLI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Proprietà ARM / REST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Pricing tier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Premium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--sku premium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properties.sku.name = "premium"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Abilitato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attivo di default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properties.enableSoftDelete = true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Days to retain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--retention-days 90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properties.softDeleteRetentionInDays = 90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Purge protection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Abilitata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--enable-purge-protection true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properties.enablePurgeProtection = true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 model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Vault access policy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--enable-rbac-authorization false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properties.enableRbacAuthorization = false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 policy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Databricks: Get, List su Secret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az keyvault set-policy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properties.accessPolicies[]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Enable public access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Disabilitato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--public-network-access Disabled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properties.publicNetworkAccess = "Disabled"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Trusted Microsoft services bypass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Abilitato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--bypass AzureServices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properties.networkAcls.bypass = "AzureServices"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Regola di default firewall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Deny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--default-action Deny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properties.networkAcls.defaultAction = "Deny"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custom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acronimo = &lt;valore&gt;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--tags acronimo=&lt;valore&gt;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tags</w:t>
            </w:r>
          </w:p>
        </w:tc>
      </w:tr>
    </w:tbl>
    <w:p>
      <w:pPr>
        <w:pBdr>
          <w:left w:val="single" w:color="BF8F00" w:sz="18" w:space="6"/>
        </w:pBdr>
        <w:shd w:fill="FFF2CC" w:val="clear"/>
        <w:spacing w:after="160" w:before="140" w:line="276"/>
        <w:ind w:left="140" w:right="140"/>
      </w:pPr>
      <w:r>
        <w:rPr>
          <w:b/>
          <w:bCs/>
          <w:color w:val="7F6000"/>
          <w:sz w:val="20"/>
          <w:szCs w:val="20"/>
        </w:rPr>
        <w:t xml:space="preserve">Risposta al dubbio aperto negli appunti: </w:t>
      </w:r>
      <w:r>
        <w:rPr>
          <w:color w:val="3B3B3B"/>
          <w:sz w:val="20"/>
          <w:szCs w:val="20"/>
        </w:rPr>
        <w:t xml:space="preserve">il flag “Allow trusted Microsoft services to bypass this firewall” non richiede un passaggio successivo alla creazione. È esposto come parametro di creazione (--bypass AzureServices in CLI, networkAcls.bypass in ARM/REST), quindi via script si imposta contestualmente alla creazione del vault. Il passaggio manuale da Settings &gt; Networking resta necessario solo per i vault creati da portale senza averlo valorizzato.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Procedura operativa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5.1 Autenticazione e attivazione della sottoscrizione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1"/>
          <w:szCs w:val="21"/>
        </w:rPr>
        <w:t xml:space="preserve">Effettuare l’autenticazione ad Azure.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1"/>
          <w:szCs w:val="21"/>
        </w:rPr>
        <w:t xml:space="preserve">Attivare la sottoscrizione ISP_PROD_KEYVAULT_SEC: da Azure, voce “Visualizza sottoscrizioni idonee”, selezionare la sottoscrizione e attivarla per il numero di ore necessario a completare l’attività.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1"/>
          <w:szCs w:val="21"/>
        </w:rPr>
        <w:t xml:space="preserve">Verificare che il contesto sia posizionato sulla subscription corretta indicata nell’Excel.</w:t>
      </w:r>
    </w:p>
    <w:p>
      <w:pPr>
        <w:spacing w:after="40" w:before="140"/>
      </w:pPr>
      <w:r>
        <w:rPr>
          <w:i/>
          <w:iCs/>
          <w:color w:val="595959"/>
          <w:sz w:val="19"/>
          <w:szCs w:val="19"/>
        </w:rPr>
        <w:t xml:space="preserve">Azure CLI – autenticazione e selezione della subscription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login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account set --subscription "&lt;subscription-id&gt;"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account show --query "{name:name, id:id, tenant:tenantId}" -o table</w:t>
      </w:r>
    </w:p>
    <w:p>
      <w:pPr>
        <w:pBdr>
          <w:left w:val="single" w:color="BF8F00" w:sz="18" w:space="6"/>
        </w:pBdr>
        <w:shd w:fill="FFF2CC" w:val="clear"/>
        <w:spacing w:after="160" w:before="140" w:line="276"/>
        <w:ind w:left="140" w:right="140"/>
      </w:pPr>
      <w:r>
        <w:rPr>
          <w:b/>
          <w:bCs/>
          <w:color w:val="7F6000"/>
          <w:sz w:val="20"/>
          <w:szCs w:val="20"/>
        </w:rPr>
        <w:t xml:space="preserve">Attenzione: </w:t>
      </w:r>
      <w:r>
        <w:rPr>
          <w:color w:val="3B3B3B"/>
          <w:sz w:val="20"/>
          <w:szCs w:val="20"/>
        </w:rPr>
        <w:t xml:space="preserve">l’attivazione PIM ha durata limitata. Se lo script viene eseguito in modo non presidiato o dura più della finestra concessa, le chiamate iniziano a fallire con errore 403 a metà esecuzione, lasciando la risorsa in stato parziale. Prevedere una verifica di autorizzazione prima di avviare la sequenza.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5.2 Creazione del Key Vault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Passi da portale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Dalla pagina “Key Vault” selezionare la subscription indicata nell’Excel.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Selezionare il resource group indicato nell’Excel.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Inserire il nome del Key Vault indicato nell’Excel.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Scegliere la region indicata nell’Excel.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Impostare il Pricing tier su “Premium”.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Abilitare il check su “Soft delete” e impostare i “Days to retain” a 90.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Abilitare la “Purge Protection”.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Nella sezione “Access Configuration” impostare il “Permission model” su “Vault access policy” e creare la access policy per Databricks (par. 5.3).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Nella sezione “Networking” disabilitare il check “Enable public access”.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1"/>
          <w:szCs w:val="21"/>
        </w:rPr>
        <w:t xml:space="preserve">Nella sezione “Tags” inserire il tag custom “acronimo” valorizzato come da Excel.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Azure CLI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keyvault create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--name "&lt;nome-key-vault&gt;"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--resource-group "&lt;resource-group&gt;"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--location "&lt;region&gt;"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--sku premium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--enable-rbac-authorization false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--enable-purge-protection true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--retention-days 90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--public-network-access Disabled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--default-action Deny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--bypass AzureServices \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--tags acronimo="&lt;valore-acronimo&gt;"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REST API / template ARM</w:t>
      </w:r>
    </w:p>
    <w:p>
      <w:pPr>
        <w:spacing w:after="120" w:line="276"/>
      </w:pPr>
      <w:r>
        <w:rPr>
          <w:sz w:val="21"/>
          <w:szCs w:val="21"/>
        </w:rPr>
        <w:t xml:space="preserve">Chiamata: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PUT https://management.azure.com/subscriptions/{subscriptionId}/resourceGroups/{rg}/providers/Microsoft.KeyVault/vaults/{vaultName}?api-version=2023-07-01</w:t>
      </w:r>
    </w:p>
    <w:p>
      <w:pPr>
        <w:spacing w:after="40" w:before="140"/>
      </w:pPr>
      <w:r>
        <w:rPr>
          <w:i/>
          <w:iCs/>
          <w:color w:val="595959"/>
          <w:sz w:val="19"/>
          <w:szCs w:val="19"/>
        </w:rPr>
        <w:t xml:space="preserve">Corpo della richiesta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"location": "&lt;region&gt;",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"tags": { "acronimo": "&lt;valore-acronimo&gt;" },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"tenantId": "&lt;tenant-id&gt;",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"sku": { "family": "A", "name": "premium" },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"enableSoftDelete": true,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"softDeleteRetentionInDays": 90,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"enablePurgeProtection": true,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"enableRbacAuthorization": false,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"publicNetworkAccess": "Disabled",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"networkAcls": 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"bypass": "AzureServices",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"defaultAction": "Deny",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"ipRules": [],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"virtualNetworkRules": []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"accessPolicies": [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"tenantId": "&lt;tenant-id&gt;",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"objectId": "&lt;object-id-service-principal-AzureDatabricks&gt;",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  "permissions": { "secrets": [ "get", "list" ] }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BF8F00" w:sz="18" w:space="6"/>
        </w:pBdr>
        <w:shd w:fill="FFF2CC" w:val="clear"/>
        <w:spacing w:after="160" w:before="140" w:line="276"/>
        <w:ind w:left="140" w:right="140"/>
      </w:pPr>
      <w:r>
        <w:rPr>
          <w:b/>
          <w:bCs/>
          <w:color w:val="7F6000"/>
          <w:sz w:val="20"/>
          <w:szCs w:val="20"/>
        </w:rPr>
        <w:t xml:space="preserve">Nota: </w:t>
      </w:r>
      <w:r>
        <w:rPr>
          <w:color w:val="3B3B3B"/>
          <w:sz w:val="20"/>
          <w:szCs w:val="20"/>
        </w:rPr>
        <w:t xml:space="preserve">inserendo la access policy direttamente nel body si ottiene in una sola chiamata idempotente l’intera configurazione, evitando il passaggio separato del par. 5.3. Attenzione però: una PUT successiva sostituisce integralmente l’array accessPolicies, quindi in caso di riesecuzione dello script vanno riportate tutte le policy esistenti.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5.3 Access policy per Databricks</w:t>
      </w:r>
    </w:p>
    <w:p>
      <w:pPr>
        <w:spacing w:after="120" w:line="276"/>
      </w:pPr>
      <w:r>
        <w:rPr>
          <w:sz w:val="21"/>
          <w:szCs w:val="21"/>
        </w:rPr>
        <w:t xml:space="preserve">Alla policy vanno concessi i soli permessi Get e List nella sezione “Secret Permissions”, indicando come principal l’applicazione Databricks. L’applicazione enterprise “AzureDatabricks” ha un Application ID fisso e identico in tutti i tenant, mentre l’Object ID del service principal è specifico del tenant e va risolto a runtime.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Identificativo</w:t>
            </w:r>
          </w:p>
        </w:tc>
        <w:tc>
          <w:tcPr>
            <w:tcW w:type="dxa" w:w="6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 (client) ID – fisso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2ff814a6-3304-4ab8-85cb-cd0e6f879c1d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ID del service principal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variabile per tenant – da risolvere con az ad sp show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Permessi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Secret: Get, List (nessun permesso su Key e Certificate)</w:t>
            </w:r>
          </w:p>
        </w:tc>
      </w:tr>
    </w:tbl>
    <w:p>
      <w:pPr>
        <w:spacing w:after="40" w:before="140"/>
      </w:pPr>
      <w:r>
        <w:rPr>
          <w:i/>
          <w:iCs/>
          <w:color w:val="595959"/>
          <w:sz w:val="19"/>
          <w:szCs w:val="19"/>
        </w:rPr>
        <w:t xml:space="preserve">Azure CLI – creazione della access policy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DBX_OBJECT_ID=$(az ad sp show --id "2ff814a6-3304-4ab8-85cb-cd0e6f879c1d"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--query "id" -o tsv)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keyvault set-policy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--name "&lt;nome-key-vault&gt;"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--object-id "$DBX_OBJECT_ID" \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--secret-permissions get list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5.4 Verifica della configurazione</w:t>
      </w:r>
    </w:p>
    <w:p>
      <w:pPr>
        <w:spacing w:after="120" w:line="276"/>
      </w:pPr>
      <w:r>
        <w:rPr>
          <w:sz w:val="21"/>
          <w:szCs w:val="21"/>
        </w:rPr>
        <w:t xml:space="preserve">Prima di procedere con lo scope, verificare che il vault rispetti integralmente la configurazione target. Questo controllo va inserito nello script come gate di uscita.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keyvault show --name "&lt;nome-key-vault&gt;" --query "{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sku: properties.sku.name,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softDelete: properties.enableSoftDelete,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retention: properties.softDeleteRetentionInDays,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purgeProtection: properties.enablePurgeProtection,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rbacModel: properties.enableRbacAuthorization,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publicAccess: properties.publicNetworkAccess,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bypass: properties.networkAcls.bypass, \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defaultAction: properties.networkAcls.defaultAction, \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tags: tags }"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5.5 Creazione dello scope su Databricks</w:t>
      </w:r>
    </w:p>
    <w:p>
      <w:pPr>
        <w:spacing w:after="120" w:line="276"/>
      </w:pPr>
      <w:r>
        <w:rPr>
          <w:sz w:val="21"/>
          <w:szCs w:val="21"/>
        </w:rPr>
        <w:t xml:space="preserve">Lo scope Databricks di tipo Azure Key Vault-backed espone i secret del vault ai notebook senza replicarli. Il nome dello scope si ottiene dal nome del vault sostituendo le prime due lettere: da “kv” a “sc” (esempio: kv-abc-prod diventa sc-abc-prod).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Reperire DNS name e Resource ID</w:t>
      </w:r>
    </w:p>
    <w:p>
      <w:pPr>
        <w:spacing w:after="120" w:line="276"/>
      </w:pPr>
      <w:r>
        <w:rPr>
          <w:sz w:val="21"/>
          <w:szCs w:val="21"/>
        </w:rPr>
        <w:t xml:space="preserve">I due valori sono disponibili sul Key Vault appena creato in Settings &gt; Properties (Vault URI e Resource ID), oppure via CLI: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az keyvault show --name "&lt;nome-key-vault&gt;" \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--query "{ dns_name: properties.vaultUri, resource_id: id }" -o json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Da interfaccia web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1"/>
          <w:szCs w:val="21"/>
        </w:rPr>
        <w:t xml:space="preserve">Autenticarsi al link {URL workspace indicato nella RITM}/#secrets/createScope. L’URL è case sensitive: “Scope” va scritto con la S maiuscola.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1"/>
          <w:szCs w:val="21"/>
        </w:rPr>
        <w:t xml:space="preserve">Indicare come nome dello scope il nome del vault con le prime due lettere modificate da “kv” a “sc”.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1"/>
          <w:szCs w:val="21"/>
        </w:rPr>
        <w:t xml:space="preserve">Compilare DNS Name e Resource Id con i valori letti dalla scheda Properties del Key Vault.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sz w:val="21"/>
          <w:szCs w:val="21"/>
        </w:rPr>
        <w:t xml:space="preserve">Completare la creazione dello scope.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Databricks CLI</w:t>
      </w:r>
    </w:p>
    <w:p>
      <w:pPr>
        <w:spacing w:after="40" w:before="140"/>
      </w:pPr>
      <w:r>
        <w:rPr>
          <w:i/>
          <w:iCs/>
          <w:color w:val="595959"/>
          <w:sz w:val="19"/>
          <w:szCs w:val="19"/>
        </w:rPr>
        <w:t xml:space="preserve">scope.json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"scope": "sc-&lt;nome&gt;",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"initial_manage_principal": "users",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"scope_backend_type": "AZURE_KEYVAULT",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"backend_azure_keyvault": {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"resource_id": "/subscriptions/&lt;sub-id&gt;/resourceGroups/&lt;rg&gt;/providers/Microsoft.KeyVault/vaults/&lt;kv&gt;",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  "dns_name": "https://&lt;kv&gt;.vault.azure.net/"</w:t>
      </w:r>
    </w:p>
    <w:p>
      <w:pPr>
        <w:pBdr>
          <w:left w:val="single" w:color="BFBFBF" w:sz="12" w:space="6"/>
        </w:pBdr>
        <w:shd w:fill="F2F2F2" w:val="clear"/>
        <w:spacing w:after="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" w:before="140"/>
      </w:pPr>
      <w:r>
        <w:rPr>
          <w:i/>
          <w:iCs/>
          <w:color w:val="595959"/>
          <w:sz w:val="19"/>
          <w:szCs w:val="19"/>
        </w:rPr>
        <w:t xml:space="preserve">Comandi di creazione e verifica</w:t>
      </w:r>
    </w:p>
    <w:p>
      <w:pPr>
        <w:pBdr>
          <w:left w:val="single" w:color="BFBFBF" w:sz="12" w:space="6"/>
        </w:pBdr>
        <w:shd w:fill="F2F2F2" w:val="clear"/>
        <w:spacing w:after="0" w:before="4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databricks secrets create-scope --json @scope.json</w:t>
      </w:r>
    </w:p>
    <w:p>
      <w:pPr>
        <w:pBdr>
          <w:left w:val="single" w:color="BFBFBF" w:sz="12" w:space="6"/>
        </w:pBdr>
        <w:shd w:fill="F2F2F2" w:val="clear"/>
        <w:spacing w:after="160" w:before="0" w:line="240"/>
        <w:ind w:left="170" w:right="170"/>
      </w:pPr>
      <w:r>
        <w:rPr>
          <w:rFonts w:ascii="Consolas" w:cs="Consolas" w:eastAsia="Consolas" w:hAnsi="Consolas"/>
          <w:sz w:val="18"/>
          <w:szCs w:val="18"/>
        </w:rPr>
        <w:t xml:space="preserve">databricks secrets list-scopes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2"/>
          <w:szCs w:val="22"/>
        </w:rPr>
        <w:t xml:space="preserve">REST API</w:t>
      </w:r>
    </w:p>
    <w:p>
      <w:pPr>
        <w:spacing w:after="120" w:line="276"/>
      </w:pPr>
      <w:r>
        <w:rPr>
          <w:sz w:val="21"/>
          <w:szCs w:val="21"/>
        </w:rPr>
        <w:t xml:space="preserve">Chiamata: </w:t>
      </w:r>
      <w:r>
        <w:rPr>
          <w:rFonts w:ascii="Consolas" w:cs="Consolas" w:eastAsia="Consolas" w:hAnsi="Consolas"/>
          <w:color w:val="1F4E79"/>
          <w:sz w:val="21"/>
          <w:szCs w:val="21"/>
        </w:rPr>
        <w:t xml:space="preserve">POST {workspace-url}/api/2.0/secrets/scopes/create</w:t>
      </w:r>
    </w:p>
    <w:p>
      <w:pPr>
        <w:spacing w:after="120" w:line="276"/>
      </w:pPr>
      <w:r>
        <w:rPr>
          <w:sz w:val="21"/>
          <w:szCs w:val="21"/>
        </w:rPr>
        <w:t xml:space="preserve">Il payload coincide con il file JSON sopra. Per gli scope di tipo AZURE_KEYVAULT il servizio richiede inoltre il campo user_aad_token, valorizzato con un token Entra ID di un’utenza interattiva.</w:t>
      </w:r>
    </w:p>
    <w:p>
      <w:pPr>
        <w:pBdr>
          <w:left w:val="single" w:color="BF8F00" w:sz="18" w:space="6"/>
        </w:pBdr>
        <w:shd w:fill="FFF2CC" w:val="clear"/>
        <w:spacing w:after="160" w:before="140" w:line="276"/>
        <w:ind w:left="140" w:right="140"/>
      </w:pPr>
      <w:r>
        <w:rPr>
          <w:b/>
          <w:bCs/>
          <w:color w:val="7F6000"/>
          <w:sz w:val="20"/>
          <w:szCs w:val="20"/>
        </w:rPr>
        <w:t xml:space="preserve">Vincolo rilevante per l’automazione: </w:t>
      </w:r>
      <w:r>
        <w:rPr>
          <w:color w:val="3B3B3B"/>
          <w:sz w:val="20"/>
          <w:szCs w:val="20"/>
        </w:rPr>
        <w:t xml:space="preserve">la creazione di uno scope Key Vault-backed non è supportata con il solo token di un service principal. In assenza di user_aad_token la chiamata fallisce con INVALID_PARAMETER_VALUE e messaggio “Scope with Azure KeyVault must have userAADToken defined”. Nelle pipeline completamente non presidiate questo è il punto in cui la catena si interrompe: va previsto un passaggio con identità utente oppure l’esecuzione manuale di questo singolo step.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Vincoli e punti di attenzione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Purge protection: una volta abilitata non può essere disabilitata. Un vault creato con configurazione errata non è eliminabile prima della scadenza del periodo di retention.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Retention di 90 giorni: il valore non è modificabile dopo la creazione quando la purge protection è attiva. Errori su questo parametro non sono correggibili a posteriori.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Nome del vault: deve essere univoco a livello globale, tra 3 e 24 caratteri alfanumerici e trattini. Lo script deve gestire il conflitto di nome e il caso di vault omonimo in stato soft-deleted, che occupa comunque il nome.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Soft delete: da tempo attivo di default su tutti i nuovi vault e non disabilitabile; il parametro va comunque dichiarato esplicitamente nei template per rendere la configurazione autodescrittiva.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Access policy automatica: la creazione dello scope Key Vault-backed aggiunge autonomamente al vault una access policy con permessi get e list per il service principal AzureDatabricks del tenant. Questo si sovrappone alla policy creata al par. 5.3, che resta comunque il riferimento del processo.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Ambito della policy: la policy per l’applicazione AzureDatabricks è tenant-wide e non distingue i singoli workspace. Tutti i workspace Databricks del tenant che conoscono i riferimenti del vault possono quindi leggerne i secret.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Permission model: il processo richiede “Vault access policy” e non il modello RBAC. Diversi template pubblici e molti esempi online impostano enableRbacAuthorization a true: va esplicitamente forzato a false.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 verificare in fase di test: con public access disabilitato, la raggiungibilità del vault da parte di Databricks dipende dal bypass dei servizi Microsoft attendibili e dalla configurazione di rete del workspace. Se la lettura dei secret fallisce dopo la creazione dello scope, è il primo elemento da controllare, valutando l’uso di un private endpoint.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Checklist di chiusura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4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Controllo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Esito atteso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Sottoscrizione ISP_PROD_KEYVAULT_SEC attivata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Attiva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Vault creato in subscription, resource group e region da Excel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Conforme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Pricing tier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delete e days to retain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Attivo / 90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Purge protection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Attiva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Permission model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Vault access policy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 policy Databricks su Secret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Get, List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Enable public access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Disabilitato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Trusted Microsoft services bypass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Abilitato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"acronimo"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Valorizzato da Excel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Databricks creato con naming kv → sc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Presente in list-scopes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Lettura di prova di un secret dal workspace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Esito positivo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Creazione Azure Key Vault per Databricks</dc:title>
  <dc:creator>Guida operativa</dc:creator>
  <cp:lastModifiedBy>Un-named</cp:lastModifiedBy>
  <cp:revision>1</cp:revision>
  <dcterms:created xsi:type="dcterms:W3CDTF">2026-08-17T12:58:15.146Z</dcterms:created>
  <dcterms:modified xsi:type="dcterms:W3CDTF">2026-08-17T12:58:15.146Z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