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900"/>
        <w:gridCol w:w="2985"/>
        <w:gridCol w:w="3030"/>
        <w:tblGridChange w:id="0">
          <w:tblGrid>
            <w:gridCol w:w="2025"/>
            <w:gridCol w:w="900"/>
            <w:gridCol w:w="298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 CASE #3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Export Issue List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Goal In Context</w:t>
            </w:r>
          </w:p>
        </w:tc>
        <w:tc>
          <w:tcPr>
            <w:gridSpan w:val="3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L’utente vuole esportare la lista delle issue (opportunamente filtrata in precedenza), scegliendo il formato (CSV).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Preconditions 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L’utente deve essersi autenticato (effettuato il login), deve trovarsi nella schermata di visualizzazione delle 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Success End Condition </w:t>
            </w:r>
          </w:p>
        </w:tc>
        <w:tc>
          <w:tcPr>
            <w:gridSpan w:val="3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Il file richiesto dall’utente viene correttamente generato e scaricato sul dispositivo dal quale proviene la richiesta.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Failed End Condition 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L’esportazione del file fallisce (e.g. non ci sono issue da esportare), dunque il file non viene generato e scaricato. Ciò viene segnalato con un’apposita schermata di errore.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Primary Actor</w:t>
            </w:r>
          </w:p>
        </w:tc>
        <w:tc>
          <w:tcPr>
            <w:gridSpan w:val="3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L’utente clicca il pulsante “Esporta” nella schermata di visualizzazione delle 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Main Scenario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 n.</w:t>
            </w:r>
          </w:p>
        </w:tc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Actor 1</w:t>
            </w:r>
          </w:p>
        </w:tc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Richiede di esportare la lista delle issue cliccando sull’apposito pulsante. [M0]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 in [M1] l’opzione di formato disponibile: CSV.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Seleziona l'opzione [M1]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Clicca il pulsante “Conferma”.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Recupera i dati delle issue attualmente visualizzate (considerando i filtri eventualmente applicati).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Formatta i dati, generando il file specifico richiesto. [M1]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Avvia il download del file sul dispositivo dell’utente. [M2]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Extension A: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 Issue vuota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non ci sono issue da esportare, disabilita il pulsante “Esporta”.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Extension B: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Errore di generazione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non riesce a generare il file, interrompe il processo e mostra all’utente una schermata di errore.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Riferimenti UI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8610"/>
        <w:tblGridChange w:id="0">
          <w:tblGrid>
            <w:gridCol w:w="735"/>
            <w:gridCol w:w="8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w:drawing>
                <wp:inline distB="114300" distT="114300" distL="114300" distR="114300">
                  <wp:extent cx="5114925" cy="24384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w:drawing>
                <wp:inline distB="114300" distT="114300" distL="114300" distR="114300">
                  <wp:extent cx="5334000" cy="25273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w:drawing>
                <wp:inline distB="114300" distT="114300" distL="114300" distR="114300">
                  <wp:extent cx="5114925" cy="24130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w:drawing>
                <wp:inline distB="114300" distT="114300" distL="114300" distR="114300">
                  <wp:extent cx="5114925" cy="26416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