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952AC1">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952AC1">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952AC1">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952AC1">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952AC1">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952AC1">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r>
        <w:rPr>
          <w:color w:val="385623" w:themeColor="accent6" w:themeShade="80"/>
          <w:lang w:val="en-US"/>
        </w:rPr>
        <w:t>Prototipi</w:t>
      </w:r>
      <w:bookmarkEnd w:id="97"/>
      <w:bookmarkEnd w:id="98"/>
      <w:bookmarkEnd w:id="99"/>
    </w:p>
    <w:p w14:paraId="199E667C" w14:textId="4940501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5">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6">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7">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8">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9">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0">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1">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2">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8E76D6D"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3">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115DDD45" w14:textId="77777777" w:rsidR="00225450" w:rsidRDefault="00225450" w:rsidP="000D7DF9">
      <w:pPr>
        <w:jc w:val="cente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58FE5E68" w:rsidR="00225450" w:rsidRDefault="00225450" w:rsidP="0022545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Flowchart visualizzazione ingredient piatto</w:t>
      </w:r>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E59B554" w:rsidR="00225450" w:rsidRDefault="00944A57" w:rsidP="00225450">
      <w:pPr>
        <w:pStyle w:val="Paragrafoelenco"/>
        <w:numPr>
          <w:ilvl w:val="0"/>
          <w:numId w:val="47"/>
        </w:numPr>
        <w:rPr>
          <w:rFonts w:asciiTheme="minorHAnsi" w:hAnsiTheme="minorHAnsi" w:cstheme="minorHAnsi"/>
          <w:lang w:val="en-US"/>
        </w:rPr>
      </w:pPr>
      <w:r>
        <w:rPr>
          <w:rFonts w:asciiTheme="minorHAnsi" w:hAnsiTheme="minorHAnsi" w:cstheme="minorHAnsi"/>
          <w:lang w:val="en-US"/>
        </w:rPr>
        <w:t>Flowchart visualizzazione patologie compatibili e piatti realizzabili con l’ingrediente</w:t>
      </w:r>
    </w:p>
    <w:p w14:paraId="528E619C" w14:textId="1E4EBE13" w:rsidR="00944A57" w:rsidRPr="00225450" w:rsidRDefault="00944A57"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D1050D4" wp14:editId="15815962">
            <wp:extent cx="2621280" cy="573786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1280" cy="573786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C97CCB">
      <w:pPr>
        <w:pStyle w:val="Paragrafoelenco"/>
        <w:numPr>
          <w:ilvl w:val="0"/>
          <w:numId w:val="48"/>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C97CCB">
      <w:pPr>
        <w:pStyle w:val="Paragrafoelenco"/>
        <w:numPr>
          <w:ilvl w:val="1"/>
          <w:numId w:val="48"/>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+ 10 percento nel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BA08E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3D7AB1">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6966FE">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6966FE">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Visualizzazione patologie compatibili e piatti realizzabili con l’ingrediente</w:t>
      </w:r>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7DA29" w14:textId="77777777" w:rsidR="00952AC1" w:rsidRDefault="00952AC1" w:rsidP="00702558">
      <w:r>
        <w:separator/>
      </w:r>
    </w:p>
  </w:endnote>
  <w:endnote w:type="continuationSeparator" w:id="0">
    <w:p w14:paraId="133E83DE" w14:textId="77777777" w:rsidR="00952AC1" w:rsidRDefault="00952AC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FF0C9" w14:textId="77777777" w:rsidR="00952AC1" w:rsidRDefault="00952AC1" w:rsidP="00702558">
      <w:r>
        <w:separator/>
      </w:r>
    </w:p>
  </w:footnote>
  <w:footnote w:type="continuationSeparator" w:id="0">
    <w:p w14:paraId="4FF31BBD" w14:textId="77777777" w:rsidR="00952AC1" w:rsidRDefault="00952AC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B14C33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6FE"/>
    <w:rsid w:val="006A3AB4"/>
    <w:rsid w:val="006B5D0A"/>
    <w:rsid w:val="006B6CE1"/>
    <w:rsid w:val="006D403E"/>
    <w:rsid w:val="006D6E52"/>
    <w:rsid w:val="006D7767"/>
    <w:rsid w:val="006E02FA"/>
    <w:rsid w:val="006F1161"/>
    <w:rsid w:val="006F7E50"/>
    <w:rsid w:val="00702558"/>
    <w:rsid w:val="00710C62"/>
    <w:rsid w:val="007117EE"/>
    <w:rsid w:val="00712DE6"/>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50</Pages>
  <Words>4816</Words>
  <Characters>27453</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58</cp:revision>
  <dcterms:created xsi:type="dcterms:W3CDTF">2022-05-10T12:24:00Z</dcterms:created>
  <dcterms:modified xsi:type="dcterms:W3CDTF">2022-05-16T10:02:00Z</dcterms:modified>
</cp:coreProperties>
</file>