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0A2300">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0A2300">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0A2300">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0A2300">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0A2300">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0A2300">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dei </w:t>
      </w:r>
      <w:r w:rsidR="000B44BD">
        <w:rPr>
          <w:rFonts w:asciiTheme="minorHAnsi" w:hAnsiTheme="minorHAnsi" w:cstheme="minorHAnsi"/>
        </w:rPr>
        <w:t>x</w:t>
      </w:r>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r w:rsidRPr="00D85BDF">
        <w:rPr>
          <w:color w:val="385623" w:themeColor="accent6" w:themeShade="80"/>
        </w:rPr>
        <w:t>Struttura livelli</w:t>
      </w:r>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tutte le </w:t>
      </w:r>
      <w:r>
        <w:rPr>
          <w:rFonts w:asciiTheme="minorHAnsi" w:hAnsiTheme="minorHAnsi" w:cstheme="minorHAnsi"/>
        </w:rPr>
        <w:t>meccaniche</w:t>
      </w:r>
      <w:r>
        <w:rPr>
          <w:rFonts w:asciiTheme="minorHAnsi" w:hAnsiTheme="minorHAnsi" w:cstheme="minorHAnsi"/>
        </w:rPr>
        <w:t xml:space="preserv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w:t>
      </w:r>
      <w:r>
        <w:rPr>
          <w:rFonts w:asciiTheme="minorHAnsi" w:hAnsiTheme="minorHAnsi" w:cstheme="minorHAnsi"/>
        </w:rPr>
        <w:lastRenderedPageBreak/>
        <w:t>già superato il Tutorial di doverlo ri-effettuare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 xml:space="preserve">Livello </w:t>
      </w:r>
      <w:r>
        <w:rPr>
          <w:rFonts w:asciiTheme="minorHAnsi" w:hAnsiTheme="minorHAnsi" w:cstheme="minorHAnsi"/>
        </w:rPr>
        <w:t>2</w:t>
      </w:r>
      <w:r>
        <w:rPr>
          <w:rFonts w:asciiTheme="minorHAnsi" w:hAnsiTheme="minorHAnsi" w:cstheme="minorHAnsi"/>
        </w:rPr>
        <w:t>:</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r>
        <w:rPr>
          <w:rFonts w:asciiTheme="minorHAnsi" w:hAnsiTheme="minorHAnsi" w:cstheme="minorHAnsi"/>
        </w:rPr>
        <w:t>2</w:t>
      </w:r>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r>
        <w:rPr>
          <w:color w:val="385623" w:themeColor="accent6" w:themeShade="80"/>
          <w:lang w:val="en-US"/>
        </w:rPr>
        <w:t>Prototipi</w:t>
      </w:r>
      <w:bookmarkEnd w:id="95"/>
      <w:bookmarkEnd w:id="96"/>
      <w:bookmarkEnd w:id="97"/>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8E32" w14:textId="77777777" w:rsidR="000A2300" w:rsidRDefault="000A2300" w:rsidP="00702558">
      <w:r>
        <w:separator/>
      </w:r>
    </w:p>
  </w:endnote>
  <w:endnote w:type="continuationSeparator" w:id="0">
    <w:p w14:paraId="2E9382C9" w14:textId="77777777" w:rsidR="000A2300" w:rsidRDefault="000A2300"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D7AB" w14:textId="77777777" w:rsidR="000A2300" w:rsidRDefault="000A2300" w:rsidP="00702558">
      <w:r>
        <w:separator/>
      </w:r>
    </w:p>
  </w:footnote>
  <w:footnote w:type="continuationSeparator" w:id="0">
    <w:p w14:paraId="7E830FA8" w14:textId="77777777" w:rsidR="000A2300" w:rsidRDefault="000A2300"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A606F1"/>
    <w:multiLevelType w:val="hybridMultilevel"/>
    <w:tmpl w:val="C34A6E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 w:numId="44" w16cid:durableId="2006740655">
    <w:abstractNumId w:val="32"/>
  </w:num>
  <w:num w:numId="45" w16cid:durableId="6642800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23609"/>
    <w:rsid w:val="000344BD"/>
    <w:rsid w:val="000412EF"/>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375A"/>
    <w:rsid w:val="00CD43BB"/>
    <w:rsid w:val="00CF5E94"/>
    <w:rsid w:val="00D16289"/>
    <w:rsid w:val="00D6028B"/>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24</Pages>
  <Words>3884</Words>
  <Characters>22143</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77</cp:revision>
  <dcterms:created xsi:type="dcterms:W3CDTF">2022-04-15T14:00:00Z</dcterms:created>
  <dcterms:modified xsi:type="dcterms:W3CDTF">2022-05-03T16:45:00Z</dcterms:modified>
</cp:coreProperties>
</file>