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6A0DAD"/>
          <w:sz w:val="40"/>
          <w:szCs w:val="40"/>
        </w:rPr>
        <w:t xml:space="preserve">S&amp;P 500 Long-Short Systematic Factor Strategy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Assignment 3  —  Group N  —  March 2026</w:t>
      </w:r>
    </w:p>
    <w:p>
      <w:pPr>
        <w:spacing w:before="0" w:after="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 step-by-step technical walkthrough of methodology and implementation</w:t>
      </w:r>
    </w:p>
    <w:p>
      <w:pPr>
        <w:pBdr>
          <w:bottom w:val="single" w:color="6A0DAD" w:sz="6" w:space="1"/>
        </w:pBdr>
        <w:spacing w:before="60" w:after="60"/>
      </w:pPr>
    </w:p>
    <w:p>
      <w:pPr>
        <w:spacing w:before="60" w:after="0"/>
      </w:pP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Step 1 — Dataset Structural Validation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What we did: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Before writing any model code, we mapped the exact structure of the raw Bloomberg data file to understand what we were working with and catch any structural anomalies.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How: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We loaded the raw Excel file without headers (</w:t>
      </w:r>
      <w:r>
        <w:rPr>
          <w:rFonts w:ascii="Courier New" w:cs="Courier New" w:eastAsia="Courier New" w:hAnsi="Courier New"/>
          <w:color w:val="5B2D8E"/>
          <w:sz w:val="18"/>
          <w:szCs w:val="18"/>
        </w:rPr>
        <w:t xml:space="preserve">header=None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) and inspected the grid manually — tickers in row 1, metric names in row 2, date column in column 3, and actual data starting from row 3.</w:t>
      </w:r>
    </w:p>
    <w:p>
      <w:pPr>
        <w:spacing w:before="60" w:after="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A0D8" w:sz="4"/>
              <w:left w:val="single" w:color="C0A0D8" w:sz="4"/>
              <w:bottom w:val="single" w:color="6A0DAD" w:sz="8"/>
              <w:right w:val="single" w:color="C0A0D8" w:sz="4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0A0D8" w:sz="4"/>
              <w:left w:val="single" w:color="C0A0D8" w:sz="4"/>
              <w:bottom w:val="single" w:color="6A0DAD" w:sz="8"/>
              <w:right w:val="single" w:color="C0A0D8" w:sz="4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Raw matrix dimensions</w:t>
            </w:r>
          </w:p>
        </w:tc>
        <w:tc>
          <w:tcPr>
            <w:tcW w:type="dxa" w:w="65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506 rows × 6,581 columns</w:t>
            </w:r>
          </w:p>
        </w:tc>
      </w:tr>
      <w:tr>
        <w:tc>
          <w:tcPr>
            <w:tcW w:type="dxa" w:w="28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Unique equity assets</w:t>
            </w:r>
          </w:p>
        </w:tc>
        <w:tc>
          <w:tcPr>
            <w:tcW w:type="dxa" w:w="65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504 S&amp;P 500 constituents</w:t>
            </w:r>
          </w:p>
        </w:tc>
      </w:tr>
      <w:tr>
        <w:tc>
          <w:tcPr>
            <w:tcW w:type="dxa" w:w="28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Unique metrics available</w:t>
            </w:r>
          </w:p>
        </w:tc>
        <w:tc>
          <w:tcPr>
            <w:tcW w:type="dxa" w:w="65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14 Bloomberg fields</w:t>
            </w:r>
          </w:p>
        </w:tc>
      </w:tr>
      <w:tr>
        <w:tc>
          <w:tcPr>
            <w:tcW w:type="dxa" w:w="28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Temporal coverage</w:t>
            </w:r>
          </w:p>
        </w:tc>
        <w:tc>
          <w:tcPr>
            <w:tcW w:type="dxa" w:w="65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313 months: December 1999 – December 2025</w:t>
            </w:r>
          </w:p>
        </w:tc>
      </w:tr>
      <w:tr>
        <w:tc>
          <w:tcPr>
            <w:tcW w:type="dxa" w:w="28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Non-equity artifact detected</w:t>
            </w:r>
          </w:p>
        </w:tc>
        <w:tc>
          <w:tcPr>
            <w:tcW w:type="dxa" w:w="65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ES1 Index (S&amp;P 500 futures) in column 2 — excluded</w:t>
            </w:r>
          </w:p>
        </w:tc>
      </w:tr>
      <w:tr>
        <w:tc>
          <w:tcPr>
            <w:tcW w:type="dxa" w:w="28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Available metrics</w:t>
            </w:r>
          </w:p>
        </w:tc>
        <w:tc>
          <w:tcPr>
            <w:tcW w:type="dxa" w:w="65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PX_LAST, TRAIL_12M_EPS, TRAIL_12M_EPS_BEF_XO_ITEM, RETURN_COM_EQY, PX_TO_BOOK_RATIO, TOT_DEBT_TO_TOT_EQY, PROF_MARGIN, HIST_PUT/CALL_IMP_VOL, CASH_CONVERSION_CYCLE, AVERAGE_DIVIDEND_YIELD, NET_DEBT, EBITDA_EV_YIELD, OPER_INC_GROWTH</w:t>
            </w:r>
          </w:p>
        </w:tc>
      </w:tr>
    </w:tbl>
    <w:p>
      <w:pPr>
        <w:spacing w:before="40" w:after="0"/>
      </w:pPr>
    </w:p>
    <w:p>
      <w:pPr>
        <w:pBdr>
          <w:left w:val="single" w:color="6A0DAD" w:sz="18" w:space="8"/>
        </w:pBdr>
        <w:shd w:fill="F0E6FA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4A0070"/>
          <w:sz w:val="19"/>
          <w:szCs w:val="19"/>
        </w:rPr>
        <w:t xml:space="preserve">Why this step matters: skipping structural validation leads to silent misalignments between dates and prices — a fatal bug that produces plausible-looking but entirely wrong factor signals downstream.</w:t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Step 2 — Wide-to-Long Transformation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What we did: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Restructured the raw Bloomberg grid from wide format (one row per date, one column per ticker×metric pair) into a tidy long format (one row per date×ticker observation).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Why this was necessary: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The original grid uses a MultiIndex column structure — tickers in one header row, metrics in another. This format is human-readable but computationally dangerous: cross-sectional operations (ranking, standardising, selecting top/bottom deciles) require iterating over awkward column groups. A long-format DataFrame enables clean groupby operations by date or ticker.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How: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We extracted the date vector from column 3 (313 timestamps), reconstructed the MultiIndex (Ticker, Metric) from rows 1–2, converted all values to numeric (coercing errors to NaN), then applied </w:t>
      </w:r>
      <w:r>
        <w:rPr>
          <w:rFonts w:ascii="Courier New" w:cs="Courier New" w:eastAsia="Courier New" w:hAnsi="Courier New"/>
          <w:color w:val="5B2D8E"/>
          <w:sz w:val="18"/>
          <w:szCs w:val="18"/>
        </w:rPr>
        <w:t xml:space="preserve">stack(level='Ticker')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 to unpivot. Duplicate columns and NaN column headers were removed.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Result: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157,752 rows × 15 columns. Each row uniquely identified by (Date, Ticker).</w:t>
      </w:r>
    </w:p>
    <w:p>
      <w:pPr>
        <w:spacing w:before="40" w:after="0"/>
      </w:pPr>
    </w:p>
    <w:p>
      <w:pPr>
        <w:pBdr>
          <w:left w:val="single" w:color="6A0DAD" w:sz="18" w:space="8"/>
        </w:pBdr>
        <w:shd w:fill="F0E6FA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4A0070"/>
          <w:sz w:val="19"/>
          <w:szCs w:val="19"/>
        </w:rPr>
        <w:t xml:space="preserve">The ES1 Index artifact was silently present in the raw data as a 505th column group. Not filtering it would have introduced S&amp;P 500 futures prices into the equity cross-section, corrupting factor signals for 313 months of data.</w:t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Step 3 — Pre-Transformation Data Integrity Checks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What we did: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Ran four diagnostic checks on the four target fields before any factor engineering, to confirm no provider errors survived the transformation.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600"/>
        <w:gridCol w:w="1960"/>
      </w:tblGrid>
      <w:tr>
        <w:tc>
          <w:tcPr>
            <w:tcW w:type="dxa" w:w="2600"/>
            <w:tcBorders>
              <w:top w:val="single" w:color="C0A0D8" w:sz="4"/>
              <w:left w:val="single" w:color="C0A0D8" w:sz="4"/>
              <w:bottom w:val="single" w:color="6A0DAD" w:sz="8"/>
              <w:right w:val="single" w:color="C0A0D8" w:sz="4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0A0D8" w:sz="4"/>
              <w:left w:val="single" w:color="C0A0D8" w:sz="4"/>
              <w:bottom w:val="single" w:color="6A0DAD" w:sz="8"/>
              <w:right w:val="single" w:color="C0A0D8" w:sz="4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 (%)</w:t>
            </w:r>
          </w:p>
        </w:tc>
        <w:tc>
          <w:tcPr>
            <w:tcW w:type="dxa" w:w="1600"/>
            <w:tcBorders>
              <w:top w:val="single" w:color="C0A0D8" w:sz="4"/>
              <w:left w:val="single" w:color="C0A0D8" w:sz="4"/>
              <w:bottom w:val="single" w:color="6A0DAD" w:sz="8"/>
              <w:right w:val="single" w:color="C0A0D8" w:sz="4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1600"/>
            <w:tcBorders>
              <w:top w:val="single" w:color="C0A0D8" w:sz="4"/>
              <w:left w:val="single" w:color="C0A0D8" w:sz="4"/>
              <w:bottom w:val="single" w:color="6A0DAD" w:sz="8"/>
              <w:right w:val="single" w:color="C0A0D8" w:sz="4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1960"/>
            <w:tcBorders>
              <w:top w:val="single" w:color="C0A0D8" w:sz="4"/>
              <w:left w:val="single" w:color="C0A0D8" w:sz="4"/>
              <w:bottom w:val="single" w:color="6A0DAD" w:sz="8"/>
              <w:right w:val="single" w:color="C0A0D8" w:sz="4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PX_LAST (Price)</w:t>
            </w:r>
          </w:p>
        </w:tc>
        <w:tc>
          <w:tcPr>
            <w:tcW w:type="dxa" w:w="16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13.41%</w:t>
            </w:r>
          </w:p>
        </w:tc>
        <w:tc>
          <w:tcPr>
            <w:tcW w:type="dxa" w:w="16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$0.03</w:t>
            </w:r>
          </w:p>
        </w:tc>
        <w:tc>
          <w:tcPr>
            <w:tcW w:type="dxa" w:w="16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$9,812</w:t>
            </w:r>
          </w:p>
        </w:tc>
        <w:tc>
          <w:tcPr>
            <w:tcW w:type="dxa" w:w="19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 negative, 0 zero prices — clean</w:t>
            </w:r>
          </w:p>
        </w:tc>
      </w:tr>
      <w:tr>
        <w:tc>
          <w:tcPr>
            <w:tcW w:type="dxa" w:w="26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TRAIL_12M_EPS_BEF_XO</w:t>
            </w:r>
          </w:p>
        </w:tc>
        <w:tc>
          <w:tcPr>
            <w:tcW w:type="dxa" w:w="16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14.42%</w:t>
            </w:r>
          </w:p>
        </w:tc>
        <w:tc>
          <w:tcPr>
            <w:tcW w:type="dxa" w:w="16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−$4,486</w:t>
            </w:r>
          </w:p>
        </w:tc>
        <w:tc>
          <w:tcPr>
            <w:tcW w:type="dxa" w:w="16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$1,002</w:t>
            </w:r>
          </w:p>
        </w:tc>
        <w:tc>
          <w:tcPr>
            <w:tcW w:type="dxa" w:w="19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Negative EPS valid (losses)</w:t>
            </w:r>
          </w:p>
        </w:tc>
      </w:tr>
      <w:tr>
        <w:tc>
          <w:tcPr>
            <w:tcW w:type="dxa" w:w="26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RETURN_COM_EQY (ROE)</w:t>
            </w:r>
          </w:p>
        </w:tc>
        <w:tc>
          <w:tcPr>
            <w:tcW w:type="dxa" w:w="16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15.03%</w:t>
            </w:r>
          </w:p>
        </w:tc>
        <w:tc>
          <w:tcPr>
            <w:tcW w:type="dxa" w:w="16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−1,874%</w:t>
            </w:r>
          </w:p>
        </w:tc>
        <w:tc>
          <w:tcPr>
            <w:tcW w:type="dxa" w:w="16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+2,065%</w:t>
            </w:r>
          </w:p>
        </w:tc>
        <w:tc>
          <w:tcPr>
            <w:tcW w:type="dxa" w:w="19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Outliers from financial distress</w:t>
            </w:r>
          </w:p>
        </w:tc>
      </w:tr>
      <w:tr>
        <w:tc>
          <w:tcPr>
            <w:tcW w:type="dxa" w:w="26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EBITDA_EV_YIELD</w:t>
            </w:r>
          </w:p>
        </w:tc>
        <w:tc>
          <w:tcPr>
            <w:tcW w:type="dxa" w:w="16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23.00%</w:t>
            </w:r>
          </w:p>
        </w:tc>
        <w:tc>
          <w:tcPr>
            <w:tcW w:type="dxa" w:w="16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0.0011</w:t>
            </w:r>
          </w:p>
        </w:tc>
        <w:tc>
          <w:tcPr>
            <w:tcW w:type="dxa" w:w="16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2,159</w:t>
            </w:r>
          </w:p>
        </w:tc>
        <w:tc>
          <w:tcPr>
            <w:tcW w:type="dxa" w:w="19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Highest missingness — flagged</w:t>
            </w:r>
          </w:p>
        </w:tc>
      </w:tr>
    </w:tbl>
    <w:p>
      <w:pPr>
        <w:spacing w:before="60" w:after="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Key finding: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Missingness is structural (companies enter/exit the index at different times) and decreases over time as the index matures. No data-entry errors were detected. The high EBITDA/EV missingness (23%) is partly explained by the field being unavailable for financial-sector stocks, which have different capital structures.</w:t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Step 4 — Factor Selection, Engineering &amp; Look-Ahead Bias Mitigation</w:t>
      </w:r>
    </w:p>
    <w:p>
      <w:pPr>
        <w:pStyle w:val="Heading2"/>
        <w:spacing w:before="160" w:after="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4a. Factor Selection Rationale</w:t>
      </w:r>
    </w:p>
    <w:p>
      <w:pPr>
        <w:spacing w:before="40"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 assignment required Earnings Yield (EY) and Return on Equity (ROE). We chose EBITDA/EV Yield and 12M-1M Momentum as the two additional factors for the following reasons: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80"/>
        <w:gridCol w:w="2680"/>
      </w:tblGrid>
      <w:tr>
        <w:tc>
          <w:tcPr>
            <w:tcW w:type="dxa" w:w="1800"/>
            <w:tcBorders>
              <w:top w:val="single" w:color="C0A0D8" w:sz="4"/>
              <w:left w:val="single" w:color="C0A0D8" w:sz="4"/>
              <w:bottom w:val="single" w:color="6A0DAD" w:sz="8"/>
              <w:right w:val="single" w:color="C0A0D8" w:sz="4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2200"/>
            <w:tcBorders>
              <w:top w:val="single" w:color="C0A0D8" w:sz="4"/>
              <w:left w:val="single" w:color="C0A0D8" w:sz="4"/>
              <w:bottom w:val="single" w:color="6A0DAD" w:sz="8"/>
              <w:right w:val="single" w:color="C0A0D8" w:sz="4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2680"/>
            <w:tcBorders>
              <w:top w:val="single" w:color="C0A0D8" w:sz="4"/>
              <w:left w:val="single" w:color="C0A0D8" w:sz="4"/>
              <w:bottom w:val="single" w:color="6A0DAD" w:sz="8"/>
              <w:right w:val="single" w:color="C0A0D8" w:sz="4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chosen</w:t>
            </w:r>
          </w:p>
        </w:tc>
        <w:tc>
          <w:tcPr>
            <w:tcW w:type="dxa" w:w="2680"/>
            <w:tcBorders>
              <w:top w:val="single" w:color="C0A0D8" w:sz="4"/>
              <w:left w:val="single" w:color="C0A0D8" w:sz="4"/>
              <w:bottom w:val="single" w:color="6A0DAD" w:sz="8"/>
              <w:right w:val="single" w:color="C0A0D8" w:sz="4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NOT others</w:t>
            </w:r>
          </w:p>
        </w:tc>
      </w:tr>
      <w:tr>
        <w:tc>
          <w:tcPr>
            <w:tcW w:type="dxa" w:w="18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0E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Earnings Yield (EY)</w:t>
            </w:r>
          </w:p>
        </w:tc>
        <w:tc>
          <w:tcPr>
            <w:tcW w:type="dxa" w:w="22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EPS / Price</w:t>
            </w:r>
          </w:p>
        </w:tc>
        <w:tc>
          <w:tcPr>
            <w:tcW w:type="dxa" w:w="268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Required by assignment. Graham (1949) value anchor: measures how much earnings an investor buys per dollar invested.</w:t>
            </w:r>
          </w:p>
        </w:tc>
        <w:tc>
          <w:tcPr>
            <w:tcW w:type="dxa" w:w="268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Return on Equity (ROE)</w:t>
            </w:r>
          </w:p>
        </w:tc>
        <w:tc>
          <w:tcPr>
            <w:tcW w:type="dxa" w:w="22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Net Income / Book Equity</w:t>
            </w:r>
          </w:p>
        </w:tc>
        <w:tc>
          <w:tcPr>
            <w:tcW w:type="dxa" w:w="268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Required by assignment. Captures management quality and profitability compounding (Fama &amp; French, 1992).</w:t>
            </w:r>
          </w:p>
        </w:tc>
        <w:tc>
          <w:tcPr>
            <w:tcW w:type="dxa" w:w="268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0E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EBITDA/EV Yield</w:t>
            </w:r>
          </w:p>
        </w:tc>
        <w:tc>
          <w:tcPr>
            <w:tcW w:type="dxa" w:w="22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EBITDA / Enterprise Value</w:t>
            </w:r>
          </w:p>
        </w:tc>
        <w:tc>
          <w:tcPr>
            <w:tcW w:type="dxa" w:w="268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Capital-structure neutral valuation: unlike P/E, EV accounts for debt. Avoids distortion from leverage (Loughran &amp; Wellman, 2011). Complements EY by adding an enterprise-level value dimension.</w:t>
            </w:r>
          </w:p>
        </w:tc>
        <w:tc>
          <w:tcPr>
            <w:tcW w:type="dxa" w:w="268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PX_TO_BOOK (P/B) excluded: redundant with ROE. Dividend yield: biased towards mature sectors. Net Debt/Equity: leverage not predictive in cross-section.</w:t>
            </w:r>
          </w:p>
        </w:tc>
      </w:tr>
      <w:tr>
        <w:tc>
          <w:tcPr>
            <w:tcW w:type="dxa" w:w="18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Momentum (12M-1M)</w:t>
            </w:r>
          </w:p>
        </w:tc>
        <w:tc>
          <w:tcPr>
            <w:tcW w:type="dxa" w:w="22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(P[t-1] / P[t-12]) − 1</w:t>
            </w:r>
          </w:p>
        </w:tc>
        <w:tc>
          <w:tcPr>
            <w:tcW w:type="dxa" w:w="268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Best-documented anomaly in equity markets (Jegadeesh &amp; Titman, 1993; Carhart, 1997). Orthogonal to value factors — provides genuine diversification. Skip-1M excludes the most recent month to neutralise microstructural short-term reversal.</w:t>
            </w:r>
          </w:p>
        </w:tc>
        <w:tc>
          <w:tcPr>
            <w:tcW w:type="dxa" w:w="268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P/B momentum excluded (collinear). Option-implied vol excluded (requires options data, reduces universe).</w:t>
            </w:r>
          </w:p>
        </w:tc>
      </w:tr>
    </w:tbl>
    <w:p>
      <w:pPr>
        <w:spacing w:before="80" w:after="0"/>
      </w:pPr>
    </w:p>
    <w:p>
      <w:pPr>
        <w:pStyle w:val="Heading2"/>
        <w:spacing w:before="160" w:after="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4b. Three-Layer Look-Ahead Bias Protocol</w:t>
      </w:r>
    </w:p>
    <w:p>
      <w:pPr>
        <w:spacing w:before="40"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Look-ahead bias is the most common source of inflated backtests. We applied three independent safeguards: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400"/>
        <w:gridCol w:w="3800"/>
        <w:gridCol w:w="2800"/>
      </w:tblGrid>
      <w:tr>
        <w:tc>
          <w:tcPr>
            <w:tcW w:type="dxa" w:w="360"/>
            <w:tcBorders>
              <w:top w:val="single" w:color="C0A0D8" w:sz="4"/>
              <w:left w:val="single" w:color="C0A0D8" w:sz="4"/>
              <w:bottom w:val="single" w:color="6A0DAD" w:sz="8"/>
              <w:right w:val="single" w:color="C0A0D8" w:sz="4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0A0D8" w:sz="4"/>
              <w:left w:val="single" w:color="C0A0D8" w:sz="4"/>
              <w:bottom w:val="single" w:color="6A0DAD" w:sz="8"/>
              <w:right w:val="single" w:color="C0A0D8" w:sz="4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800"/>
            <w:tcBorders>
              <w:top w:val="single" w:color="C0A0D8" w:sz="4"/>
              <w:left w:val="single" w:color="C0A0D8" w:sz="4"/>
              <w:bottom w:val="single" w:color="6A0DAD" w:sz="8"/>
              <w:right w:val="single" w:color="C0A0D8" w:sz="4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2800"/>
            <w:tcBorders>
              <w:top w:val="single" w:color="C0A0D8" w:sz="4"/>
              <w:left w:val="single" w:color="C0A0D8" w:sz="4"/>
              <w:bottom w:val="single" w:color="6A0DAD" w:sz="8"/>
              <w:right w:val="single" w:color="C0A0D8" w:sz="4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3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2-month fundamental lag</w:t>
            </w:r>
          </w:p>
        </w:tc>
        <w:tc>
          <w:tcPr>
            <w:tcW w:type="dxa" w:w="38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All accounting fields (EPS, ROE, EBITDA/EV) shifted by 2 months before use, forward-filled with 10-month decay cap (12-month staleness limit).</w:t>
            </w:r>
          </w:p>
        </w:tc>
        <w:tc>
          <w:tcPr>
            <w:tcW w:type="dxa" w:w="28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Companies typically report earnings 30–60 days after quarter-end. Using the same-month value assumes perfect real-time data.</w:t>
            </w:r>
          </w:p>
        </w:tc>
      </w:tr>
      <w:tr>
        <w:tc>
          <w:tcPr>
            <w:tcW w:type="dxa" w:w="3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Skip-1-month momentum</w:t>
            </w:r>
          </w:p>
        </w:tc>
        <w:tc>
          <w:tcPr>
            <w:tcW w:type="dxa" w:w="38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Momentum computed as P[t−1] / P[t−12] − 1. Month t is excluded from the return window.</w:t>
            </w:r>
          </w:p>
        </w:tc>
        <w:tc>
          <w:tcPr>
            <w:tcW w:type="dxa" w:w="28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Month t returns include bid-ask bounce and microstructural reversal. Using them would predict the very return we are trying to forecast.</w:t>
            </w:r>
          </w:p>
        </w:tc>
      </w:tr>
      <w:tr>
        <w:tc>
          <w:tcPr>
            <w:tcW w:type="dxa" w:w="3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1-period execution lag</w:t>
            </w:r>
          </w:p>
        </w:tc>
        <w:tc>
          <w:tcPr>
            <w:tcW w:type="dxa" w:w="38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Portfolio weights constructed at month T are applied to returns realised at T+1.</w:t>
            </w:r>
          </w:p>
        </w:tc>
        <w:tc>
          <w:tcPr>
            <w:tcW w:type="dxa" w:w="28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Weights computed on month-T closing prices cannot be executed until T+1 open at the earliest.</w:t>
            </w:r>
          </w:p>
        </w:tc>
      </w:tr>
    </w:tbl>
    <w:p>
      <w:pPr>
        <w:spacing w:before="40" w:after="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Sanity check (AAPL, last 4 observations):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We verified that </w:t>
      </w:r>
      <w:r>
        <w:rPr>
          <w:rFonts w:ascii="Courier New" w:cs="Courier New" w:eastAsia="Courier New" w:hAnsi="Courier New"/>
          <w:color w:val="5B2D8E"/>
          <w:sz w:val="18"/>
          <w:szCs w:val="18"/>
        </w:rPr>
        <w:t xml:space="preserve">FACTOR_EY_t = TRAIL_12M_EPS_BEF_XO_ITEM_{t-2} / PX_LAST_t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. Example: AAPL Dec-2025 EY = 7.48 / 271.61 = 0.02754. Confirmed correct.</w:t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Step 5 — Cross-Sectional Standardisation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What we did: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Transformed raw factor values into comparable Z-scores using a two-step pipeline applied independently at each cross-section (i.e., per month).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Why Z-scoring matters: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The four factors live on completely different scales: EY is a ratio between 0 and 0.5; ROE can be −1,874% to +2,065%; EBITDA/EV ranges 0–2,159%. Summing raw values would give ROE (large absolute values) 100× more influence than EY. Z-scoring puts all factors on the same standard normal scale before aggregation.</w:t>
      </w:r>
    </w:p>
    <w:p>
      <w:pPr>
        <w:pStyle w:val="Heading2"/>
        <w:spacing w:before="160" w:after="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Pipeline (applied per month t):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Dynamic winsorisation: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clip each factor at the 1st and 99th cross-sectional percentile, removing extreme outliers without dropping observations.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Z-Score standardisation: </w:t>
      </w:r>
      <w:r>
        <w:rPr>
          <w:rFonts w:ascii="Courier New" w:cs="Courier New" w:eastAsia="Courier New" w:hAnsi="Courier New"/>
          <w:color w:val="5B2D8E"/>
          <w:sz w:val="18"/>
          <w:szCs w:val="18"/>
        </w:rPr>
        <w:t xml:space="preserve">Z = (X − μ) / σ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, where μ and σ are the cross-sectional mean and standard deviation for that month. All parameters are estimated cross-sectionally — no temporal look-ahead.</w:t>
      </w:r>
    </w:p>
    <w:p>
      <w:pPr>
        <w:spacing w:before="40" w:after="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Result: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Each Z-score column has mean ≈0 and std ≈1 by construction, confirmed by the output. Total valid observations with all four factors: </w:t>
      </w: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116,244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 (out of 157,752).</w:t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Step 6 — IC-Weighted Composite Score (Rank-Rank Aggregation)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What we did: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Aggregated the four individual Z-scores into a single composite score using Information Coefficient (IC) weighting.</w:t>
      </w:r>
    </w:p>
    <w:p>
      <w:pPr>
        <w:pStyle w:val="Heading2"/>
        <w:spacing w:before="160" w:after="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Why not equal weighting?</w:t>
      </w:r>
    </w:p>
    <w:p>
      <w:pPr>
        <w:spacing w:before="40"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 naive equal-weight composite (summing all four Z-scores with weight 0.25 each) assumes all factors have identical predictive power. This is demonstrably false in our dataset: during the burn-in period (2010–2013), three of the four factors had negative ICs, meaning they were slightly anti-predictive. Including them with equal weight would actively degrade the composite signal.</w:t>
      </w:r>
    </w:p>
    <w:p>
      <w:pPr>
        <w:pStyle w:val="Heading2"/>
        <w:spacing w:before="160" w:after="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IC-Weighted Composite — Methodology: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Burn-in IC estimation (2010–2013):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for each factor, compute the monthly Spearman rank correlation between the factor Z-score and next-month return. Spearman correlation is robust to the heavy tails in financial return distributions.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Zero-floor and normalise: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weights are set proportional to max(IC̅, 0), so negative-IC factors receive zero weight rather than negative weight.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Freeze weights: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IC weights estimated in 2010–2013 are frozen before the OOS window begins (March 2014). This is identical to a train/test split, eliminating any OOS look-ahead from the weighting procedure.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1400"/>
        <w:gridCol w:w="1560"/>
      </w:tblGrid>
      <w:tr>
        <w:tc>
          <w:tcPr>
            <w:tcW w:type="dxa" w:w="2200"/>
            <w:tcBorders>
              <w:top w:val="single" w:color="C0A0D8" w:sz="4"/>
              <w:left w:val="single" w:color="C0A0D8" w:sz="4"/>
              <w:bottom w:val="single" w:color="6A0DAD" w:sz="8"/>
              <w:right w:val="single" w:color="C0A0D8" w:sz="4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1400"/>
            <w:tcBorders>
              <w:top w:val="single" w:color="C0A0D8" w:sz="4"/>
              <w:left w:val="single" w:color="C0A0D8" w:sz="4"/>
              <w:bottom w:val="single" w:color="6A0DAD" w:sz="8"/>
              <w:right w:val="single" w:color="C0A0D8" w:sz="4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Burn-In IC</w:t>
            </w:r>
          </w:p>
        </w:tc>
        <w:tc>
          <w:tcPr>
            <w:tcW w:type="dxa" w:w="1400"/>
            <w:tcBorders>
              <w:top w:val="single" w:color="C0A0D8" w:sz="4"/>
              <w:left w:val="single" w:color="C0A0D8" w:sz="4"/>
              <w:bottom w:val="single" w:color="6A0DAD" w:sz="8"/>
              <w:right w:val="single" w:color="C0A0D8" w:sz="4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 SD</w:t>
            </w:r>
          </w:p>
        </w:tc>
        <w:tc>
          <w:tcPr>
            <w:tcW w:type="dxa" w:w="1400"/>
            <w:tcBorders>
              <w:top w:val="single" w:color="C0A0D8" w:sz="4"/>
              <w:left w:val="single" w:color="C0A0D8" w:sz="4"/>
              <w:bottom w:val="single" w:color="6A0DAD" w:sz="8"/>
              <w:right w:val="single" w:color="C0A0D8" w:sz="4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 Rate</w:t>
            </w:r>
          </w:p>
        </w:tc>
        <w:tc>
          <w:tcPr>
            <w:tcW w:type="dxa" w:w="1400"/>
            <w:tcBorders>
              <w:top w:val="single" w:color="C0A0D8" w:sz="4"/>
              <w:left w:val="single" w:color="C0A0D8" w:sz="4"/>
              <w:bottom w:val="single" w:color="6A0DAD" w:sz="8"/>
              <w:right w:val="single" w:color="C0A0D8" w:sz="4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 IR</w:t>
            </w:r>
          </w:p>
        </w:tc>
        <w:tc>
          <w:tcPr>
            <w:tcW w:type="dxa" w:w="1560"/>
            <w:tcBorders>
              <w:top w:val="single" w:color="C0A0D8" w:sz="4"/>
              <w:left w:val="single" w:color="C0A0D8" w:sz="4"/>
              <w:bottom w:val="single" w:color="6A0DAD" w:sz="8"/>
              <w:right w:val="single" w:color="C0A0D8" w:sz="4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 Weight</w:t>
            </w:r>
          </w:p>
        </w:tc>
      </w:tr>
      <w:tr>
        <w:tc>
          <w:tcPr>
            <w:tcW w:type="dxa" w:w="22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0E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Earnings Yield (EY)</w:t>
            </w:r>
          </w:p>
        </w:tc>
        <w:tc>
          <w:tcPr>
            <w:tcW w:type="dxa" w:w="14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0E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7"/>
                <w:szCs w:val="17"/>
              </w:rPr>
              <w:t xml:space="preserve">−0.0264</w:t>
            </w:r>
          </w:p>
        </w:tc>
        <w:tc>
          <w:tcPr>
            <w:tcW w:type="dxa" w:w="14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0E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0.115</w:t>
            </w:r>
          </w:p>
        </w:tc>
        <w:tc>
          <w:tcPr>
            <w:tcW w:type="dxa" w:w="14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0E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38.3%</w:t>
            </w:r>
          </w:p>
        </w:tc>
        <w:tc>
          <w:tcPr>
            <w:tcW w:type="dxa" w:w="14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0E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7"/>
                <w:szCs w:val="17"/>
              </w:rPr>
              <w:t xml:space="preserve">−0.230</w:t>
            </w:r>
          </w:p>
        </w:tc>
        <w:tc>
          <w:tcPr>
            <w:tcW w:type="dxa" w:w="15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0E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7"/>
                <w:szCs w:val="17"/>
              </w:rPr>
              <w:t xml:space="preserve">0.00</w:t>
            </w:r>
          </w:p>
        </w:tc>
      </w:tr>
      <w:tr>
        <w:tc>
          <w:tcPr>
            <w:tcW w:type="dxa" w:w="22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Return on Equity (ROE)</w:t>
            </w:r>
          </w:p>
        </w:tc>
        <w:tc>
          <w:tcPr>
            <w:tcW w:type="dxa" w:w="14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7"/>
                <w:szCs w:val="17"/>
              </w:rPr>
              <w:t xml:space="preserve">−0.0018</w:t>
            </w:r>
          </w:p>
        </w:tc>
        <w:tc>
          <w:tcPr>
            <w:tcW w:type="dxa" w:w="14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0.117</w:t>
            </w:r>
          </w:p>
        </w:tc>
        <w:tc>
          <w:tcPr>
            <w:tcW w:type="dxa" w:w="14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51.1%</w:t>
            </w:r>
          </w:p>
        </w:tc>
        <w:tc>
          <w:tcPr>
            <w:tcW w:type="dxa" w:w="14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7"/>
                <w:szCs w:val="17"/>
              </w:rPr>
              <w:t xml:space="preserve">−0.016</w:t>
            </w:r>
          </w:p>
        </w:tc>
        <w:tc>
          <w:tcPr>
            <w:tcW w:type="dxa" w:w="15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7"/>
                <w:szCs w:val="17"/>
              </w:rPr>
              <w:t xml:space="preserve">0.00</w:t>
            </w:r>
          </w:p>
        </w:tc>
      </w:tr>
      <w:tr>
        <w:tc>
          <w:tcPr>
            <w:tcW w:type="dxa" w:w="22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0E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EBITDA/EV Yield</w:t>
            </w:r>
          </w:p>
        </w:tc>
        <w:tc>
          <w:tcPr>
            <w:tcW w:type="dxa" w:w="14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0E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7"/>
                <w:szCs w:val="17"/>
              </w:rPr>
              <w:t xml:space="preserve">−0.0063</w:t>
            </w:r>
          </w:p>
        </w:tc>
        <w:tc>
          <w:tcPr>
            <w:tcW w:type="dxa" w:w="14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0E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0.111</w:t>
            </w:r>
          </w:p>
        </w:tc>
        <w:tc>
          <w:tcPr>
            <w:tcW w:type="dxa" w:w="14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0E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51.1%</w:t>
            </w:r>
          </w:p>
        </w:tc>
        <w:tc>
          <w:tcPr>
            <w:tcW w:type="dxa" w:w="14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0E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7"/>
                <w:szCs w:val="17"/>
              </w:rPr>
              <w:t xml:space="preserve">−0.057</w:t>
            </w:r>
          </w:p>
        </w:tc>
        <w:tc>
          <w:tcPr>
            <w:tcW w:type="dxa" w:w="15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0E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0000"/>
                <w:sz w:val="17"/>
                <w:szCs w:val="17"/>
              </w:rPr>
              <w:t xml:space="preserve">0.00</w:t>
            </w:r>
          </w:p>
        </w:tc>
      </w:tr>
      <w:tr>
        <w:tc>
          <w:tcPr>
            <w:tcW w:type="dxa" w:w="22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Momentum (12M-1M)</w:t>
            </w:r>
          </w:p>
        </w:tc>
        <w:tc>
          <w:tcPr>
            <w:tcW w:type="dxa" w:w="14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7"/>
                <w:szCs w:val="17"/>
              </w:rPr>
              <w:t xml:space="preserve">+0.0296</w:t>
            </w:r>
          </w:p>
        </w:tc>
        <w:tc>
          <w:tcPr>
            <w:tcW w:type="dxa" w:w="14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0.152</w:t>
            </w:r>
          </w:p>
        </w:tc>
        <w:tc>
          <w:tcPr>
            <w:tcW w:type="dxa" w:w="14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57.4%</w:t>
            </w:r>
          </w:p>
        </w:tc>
        <w:tc>
          <w:tcPr>
            <w:tcW w:type="dxa" w:w="14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7"/>
                <w:szCs w:val="17"/>
              </w:rPr>
              <w:t xml:space="preserve">+0.195</w:t>
            </w:r>
          </w:p>
        </w:tc>
        <w:tc>
          <w:tcPr>
            <w:tcW w:type="dxa" w:w="15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1.00</w:t>
            </w:r>
          </w:p>
        </w:tc>
      </w:tr>
    </w:tbl>
    <w:p>
      <w:pPr>
        <w:spacing w:before="40" w:after="0"/>
      </w:pPr>
    </w:p>
    <w:p>
      <w:pPr>
        <w:pBdr>
          <w:left w:val="single" w:color="6A0DAD" w:sz="18" w:space="8"/>
        </w:pBdr>
        <w:shd w:fill="F0E6FA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4A0070"/>
          <w:sz w:val="19"/>
          <w:szCs w:val="19"/>
        </w:rPr>
        <w:t xml:space="preserve">Outcome: the IC weighting reduces the composite to a pure momentum signal. This is not a deliberate choice — it is a data-driven result. EY, ROE, and EBITDA/EV all exhibited negative predictive power during the 2010–2013 burn-in, reflecting the post-GFC growth-driven regime where value factors structurally underperformed. The composite correctly excludes them.</w:t>
      </w:r>
    </w:p>
    <w:p>
      <w:pPr>
        <w:spacing w:before="40" w:after="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Top 5 long candidates (Dec 2025):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HOOD, MU, NEM, STX, WDC — all strong recent price momentum. Bottom 5 short candidates: DECK, FISV, IT, LULU, TTD — all recent price underperformers.</w:t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Step 7 — Isolated Factor Long-Short Strategies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What we did: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Evaluated each factor individually as a stand-alone long-short strategy, as required by the assignment. This serves as a diagnostic benchmark before aggregation.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Construction: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Top-decile long / bottom-decile short by Z-score, equal-weight within each leg, 1-period execution lag, 3bp one-way transaction costs.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c>
          <w:tcPr>
            <w:tcW w:type="dxa" w:w="2400"/>
            <w:tcBorders>
              <w:top w:val="single" w:color="C0A0D8" w:sz="4"/>
              <w:left w:val="single" w:color="C0A0D8" w:sz="4"/>
              <w:bottom w:val="single" w:color="6A0DAD" w:sz="8"/>
              <w:right w:val="single" w:color="C0A0D8" w:sz="4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1740"/>
            <w:tcBorders>
              <w:top w:val="single" w:color="C0A0D8" w:sz="4"/>
              <w:left w:val="single" w:color="C0A0D8" w:sz="4"/>
              <w:bottom w:val="single" w:color="6A0DAD" w:sz="8"/>
              <w:right w:val="single" w:color="C0A0D8" w:sz="4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Ann. Return</w:t>
            </w:r>
          </w:p>
        </w:tc>
        <w:tc>
          <w:tcPr>
            <w:tcW w:type="dxa" w:w="1740"/>
            <w:tcBorders>
              <w:top w:val="single" w:color="C0A0D8" w:sz="4"/>
              <w:left w:val="single" w:color="C0A0D8" w:sz="4"/>
              <w:bottom w:val="single" w:color="6A0DAD" w:sz="8"/>
              <w:right w:val="single" w:color="C0A0D8" w:sz="4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Ann. Vol</w:t>
            </w:r>
          </w:p>
        </w:tc>
        <w:tc>
          <w:tcPr>
            <w:tcW w:type="dxa" w:w="1740"/>
            <w:tcBorders>
              <w:top w:val="single" w:color="C0A0D8" w:sz="4"/>
              <w:left w:val="single" w:color="C0A0D8" w:sz="4"/>
              <w:bottom w:val="single" w:color="6A0DAD" w:sz="8"/>
              <w:right w:val="single" w:color="C0A0D8" w:sz="4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 Sharpe</w:t>
            </w:r>
          </w:p>
        </w:tc>
        <w:tc>
          <w:tcPr>
            <w:tcW w:type="dxa" w:w="1740"/>
            <w:tcBorders>
              <w:top w:val="single" w:color="C0A0D8" w:sz="4"/>
              <w:left w:val="single" w:color="C0A0D8" w:sz="4"/>
              <w:bottom w:val="single" w:color="6A0DAD" w:sz="8"/>
              <w:right w:val="single" w:color="C0A0D8" w:sz="4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Pos. Months</w:t>
            </w:r>
          </w:p>
        </w:tc>
      </w:tr>
      <w:tr>
        <w:tc>
          <w:tcPr>
            <w:tcW w:type="dxa" w:w="24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0E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Earnings Yield (EY)</w:t>
            </w:r>
          </w:p>
        </w:tc>
        <w:tc>
          <w:tcPr>
            <w:tcW w:type="dxa" w:w="174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0E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0000"/>
                <w:sz w:val="17"/>
                <w:szCs w:val="17"/>
              </w:rPr>
              <w:t xml:space="preserve">−8.47%</w:t>
            </w:r>
          </w:p>
        </w:tc>
        <w:tc>
          <w:tcPr>
            <w:tcW w:type="dxa" w:w="174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0E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16.31%</w:t>
            </w:r>
          </w:p>
        </w:tc>
        <w:tc>
          <w:tcPr>
            <w:tcW w:type="dxa" w:w="174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0E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0000"/>
                <w:sz w:val="17"/>
                <w:szCs w:val="17"/>
              </w:rPr>
              <w:t xml:space="preserve">−0.52</w:t>
            </w:r>
          </w:p>
        </w:tc>
        <w:tc>
          <w:tcPr>
            <w:tcW w:type="dxa" w:w="174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0E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42.5%</w:t>
            </w:r>
          </w:p>
        </w:tc>
      </w:tr>
      <w:tr>
        <w:tc>
          <w:tcPr>
            <w:tcW w:type="dxa" w:w="24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Return on Equity (ROE)</w:t>
            </w:r>
          </w:p>
        </w:tc>
        <w:tc>
          <w:tcPr>
            <w:tcW w:type="dxa" w:w="174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0000"/>
                <w:sz w:val="17"/>
                <w:szCs w:val="17"/>
              </w:rPr>
              <w:t xml:space="preserve">−6.32%</w:t>
            </w:r>
          </w:p>
        </w:tc>
        <w:tc>
          <w:tcPr>
            <w:tcW w:type="dxa" w:w="174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15.87%</w:t>
            </w:r>
          </w:p>
        </w:tc>
        <w:tc>
          <w:tcPr>
            <w:tcW w:type="dxa" w:w="174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0000"/>
                <w:sz w:val="17"/>
                <w:szCs w:val="17"/>
              </w:rPr>
              <w:t xml:space="preserve">−0.40</w:t>
            </w:r>
          </w:p>
        </w:tc>
        <w:tc>
          <w:tcPr>
            <w:tcW w:type="dxa" w:w="174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45.8%</w:t>
            </w:r>
          </w:p>
        </w:tc>
      </w:tr>
      <w:tr>
        <w:tc>
          <w:tcPr>
            <w:tcW w:type="dxa" w:w="24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0E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EBITDA/EV Yield</w:t>
            </w:r>
          </w:p>
        </w:tc>
        <w:tc>
          <w:tcPr>
            <w:tcW w:type="dxa" w:w="174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0E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7"/>
                <w:szCs w:val="17"/>
              </w:rPr>
              <w:t xml:space="preserve">+2.98%</w:t>
            </w:r>
          </w:p>
        </w:tc>
        <w:tc>
          <w:tcPr>
            <w:tcW w:type="dxa" w:w="174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0E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16.02%</w:t>
            </w:r>
          </w:p>
        </w:tc>
        <w:tc>
          <w:tcPr>
            <w:tcW w:type="dxa" w:w="174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0E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7"/>
                <w:szCs w:val="17"/>
              </w:rPr>
              <w:t xml:space="preserve">+0.19</w:t>
            </w:r>
          </w:p>
        </w:tc>
        <w:tc>
          <w:tcPr>
            <w:tcW w:type="dxa" w:w="174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0E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51.2%</w:t>
            </w:r>
          </w:p>
        </w:tc>
      </w:tr>
      <w:tr>
        <w:tc>
          <w:tcPr>
            <w:tcW w:type="dxa" w:w="24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Momentum (12M-1M)</w:t>
            </w:r>
          </w:p>
        </w:tc>
        <w:tc>
          <w:tcPr>
            <w:tcW w:type="dxa" w:w="174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7"/>
                <w:szCs w:val="17"/>
              </w:rPr>
              <w:t xml:space="preserve">+0.05%</w:t>
            </w:r>
          </w:p>
        </w:tc>
        <w:tc>
          <w:tcPr>
            <w:tcW w:type="dxa" w:w="174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22.06%</w:t>
            </w:r>
          </w:p>
        </w:tc>
        <w:tc>
          <w:tcPr>
            <w:tcW w:type="dxa" w:w="174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7"/>
                <w:szCs w:val="17"/>
              </w:rPr>
              <w:t xml:space="preserve">+0.00</w:t>
            </w:r>
          </w:p>
        </w:tc>
        <w:tc>
          <w:tcPr>
            <w:tcW w:type="dxa" w:w="174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52.8%</w:t>
            </w:r>
          </w:p>
        </w:tc>
      </w:tr>
    </w:tbl>
    <w:p>
      <w:pPr>
        <w:spacing w:before="40" w:after="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Key interpretation: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EY and ROE individual strategies are deeply negative over the full history — confirming that value factors underperformed in the 2010–2025 growth-dominant regime. The individual Momentum strategy shows near-zero returns at high volatility, suggesting that momentum works best as a selection criterion combined with a regime filter, not as a raw L/S signal in isolation.</w:t>
      </w:r>
    </w:p>
    <w:p>
      <w:pPr>
        <w:pBdr>
          <w:left w:val="single" w:color="6A0DAD" w:sz="18" w:space="8"/>
        </w:pBdr>
        <w:shd w:fill="F0E6FA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4A0070"/>
          <w:sz w:val="19"/>
          <w:szCs w:val="19"/>
        </w:rPr>
        <w:t xml:space="preserve">This is precisely why the equal-weight combination of all four factors (the naive approach) would have a poor Sharpe: two of the four components are reliably loss-generating. The IC-weighting step is the key innovation that rescues the composite from this drag.</w:t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Step 8 — OOS Window &amp; Working Universe Construction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What we did: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Defined the out-of-sample (OOS) evaluation universe and computed the auxiliary features needed for portfolio construction.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0A0D8" w:sz="4"/>
              <w:left w:val="single" w:color="C0A0D8" w:sz="4"/>
              <w:bottom w:val="single" w:color="6A0DAD" w:sz="8"/>
              <w:right w:val="single" w:color="C0A0D8" w:sz="4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960"/>
            <w:tcBorders>
              <w:top w:val="single" w:color="C0A0D8" w:sz="4"/>
              <w:left w:val="single" w:color="C0A0D8" w:sz="4"/>
              <w:bottom w:val="single" w:color="6A0DAD" w:sz="8"/>
              <w:right w:val="single" w:color="C0A0D8" w:sz="4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/ Rationale</w:t>
            </w:r>
          </w:p>
        </w:tc>
      </w:tr>
      <w:tr>
        <w:tc>
          <w:tcPr>
            <w:tcW w:type="dxa" w:w="24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OOS window</w:t>
            </w:r>
          </w:p>
        </w:tc>
        <w:tc>
          <w:tcPr>
            <w:tcW w:type="dxa" w:w="69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March 2014 – December 2025 (142 months). Satisfies the '11 years' requirement.</w:t>
            </w:r>
          </w:p>
        </w:tc>
      </w:tr>
      <w:tr>
        <w:tc>
          <w:tcPr>
            <w:tcW w:type="dxa" w:w="24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Burn-in period</w:t>
            </w:r>
          </w:p>
        </w:tc>
        <w:tc>
          <w:tcPr>
            <w:tcW w:type="dxa" w:w="69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All data before March 2014 used only for: IC weight estimation (2010–2013), 12M rolling volatility, 12M-1M momentum lookback, 2-month fundamental lag. No OOS performance is measured on this data.</w:t>
            </w:r>
          </w:p>
        </w:tc>
      </w:tr>
      <w:tr>
        <w:tc>
          <w:tcPr>
            <w:tcW w:type="dxa" w:w="24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12M rolling volatility</w:t>
            </w:r>
          </w:p>
        </w:tc>
        <w:tc>
          <w:tcPr>
            <w:tcW w:type="dxa" w:w="69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Computed per ticker using 12-month rolling std of monthly returns (min 6 obs). Used for inverse-vol weighting.</w:t>
            </w:r>
          </w:p>
        </w:tc>
      </w:tr>
      <w:tr>
        <w:tc>
          <w:tcPr>
            <w:tcW w:type="dxa" w:w="24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3-month score smoothing</w:t>
            </w:r>
          </w:p>
        </w:tc>
        <w:tc>
          <w:tcPr>
            <w:tcW w:type="dxa" w:w="69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Composite score smoothed with a 3-month rolling mean. Reduces noise and turnover without adding look-ahead (uses only t, t-1, t-2).</w:t>
            </w:r>
          </w:p>
        </w:tc>
      </w:tr>
      <w:tr>
        <w:tc>
          <w:tcPr>
            <w:tcW w:type="dxa" w:w="24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Final OOS universe</w:t>
            </w:r>
          </w:p>
        </w:tc>
        <w:tc>
          <w:tcPr>
            <w:tcW w:type="dxa" w:w="69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61,337 obs | 461 unique tickers | avg 432 assets/month</w:t>
            </w:r>
          </w:p>
        </w:tc>
      </w:tr>
      <w:tr>
        <w:tc>
          <w:tcPr>
            <w:tcW w:type="dxa" w:w="240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Survivorship bias note</w:t>
            </w:r>
          </w:p>
        </w:tc>
        <w:tc>
          <w:tcPr>
            <w:tcW w:type="dxa" w:w="69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Dataset reflects today's index constituents. Stocks delisted between 2014–2025 (SVB, First Republic, Bed Bath &amp; Beyond) are absent. This mechanically inflates short-leg performance by retrospectively excluding the worst short candidates.</w:t>
            </w:r>
          </w:p>
        </w:tc>
      </w:tr>
    </w:tbl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Step 9 — Main Strategy: Dynamic Regime-Switching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What we did: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Built the primary portfolio construction engine combining the IC-weighted composite signal with a macro regime filter.</w:t>
      </w:r>
    </w:p>
    <w:p>
      <w:pPr>
        <w:pStyle w:val="Heading2"/>
        <w:spacing w:before="160" w:after="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Portfolio construction logic: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Selection: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top and bottom 10th percentile (decile) by 3-month smoothed composite score ≈ 43 stocks per leg.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Sizing: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inverse-volatility weighting within each leg. Stock i receives weight proportional to 1/σ_i, normalised to sum to 1 within the leg. This ensures high-volatility stocks do not dominate returns.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Regime overlay: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10-month SMA on the equal-weight cumulative index, lagged by 1 month.</w:t>
      </w:r>
    </w:p>
    <w:p>
      <w:pPr>
        <w:pStyle w:val="ListParagraph"/>
        <w:numPr>
          <w:ilvl w:val="1"/>
          <w:numId w:val="3"/>
        </w:numPr>
        <w:spacing w:before="20" w:after="2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Bull (84.5% of months):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lagged index &gt; lagged SMA → short book deactivated (100/0). Long book only.</w:t>
      </w:r>
    </w:p>
    <w:p>
      <w:pPr>
        <w:pStyle w:val="ListParagraph"/>
        <w:numPr>
          <w:ilvl w:val="1"/>
          <w:numId w:val="3"/>
        </w:numPr>
        <w:spacing w:before="20" w:after="2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Bear (15.5% of months):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lagged index ≤ lagged SMA → 100/40 partial hedge. Short book sized so its aggregate inverse-vol variance = 40% of long book variance.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Transaction costs: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3 bps one-way (1bp bid-ask + 2bp brokerage). Applied against monthly absolute weight turnover.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Execution lag: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weights at month T → applied to returns at T+1.</w:t>
      </w:r>
    </w:p>
    <w:p>
      <w:pPr>
        <w:spacing w:before="40" w:after="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Economic rationale for regime switching: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Momentum factors are empirically known to perform best during trending markets and worst during sharp reversals. A 100/100 dollar-neutral strategy in a secular bull market foregoes 11 years of equity risk premium, producing near-zero or negative returns even with a valid signal. The regime filter lets the strategy opportunistically collect beta during bull markets while switching to a hedged mode during corrections.</w:t>
      </w:r>
    </w:p>
    <w:p>
      <w:pPr>
        <w:pBdr>
          <w:left w:val="single" w:color="6A0DAD" w:sz="18" w:space="8"/>
        </w:pBdr>
        <w:shd w:fill="F0E6FA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4A0070"/>
          <w:sz w:val="19"/>
          <w:szCs w:val="19"/>
        </w:rPr>
        <w:t xml:space="preserve">Transparency on beta: in bull regime (100/0), the strategy carries an OLS beta of ~0.81 vs. the equal-weight benchmark. This beta is disclosed, not hidden. The 100/100 market-neutral version confirms the pure factor alpha is modest (Info Sharpe 0.082), which is an honest and important finding.</w:t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Step 10 — Performance Results &amp; Descriptive Statistics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650"/>
        <w:gridCol w:w="1650"/>
        <w:gridCol w:w="1650"/>
        <w:gridCol w:w="1650"/>
      </w:tblGrid>
      <w:tr>
        <w:tc>
          <w:tcPr>
            <w:tcW w:type="dxa" w:w="2760"/>
            <w:tcBorders>
              <w:top w:val="single" w:color="C0A0D8" w:sz="4"/>
              <w:left w:val="single" w:color="C0A0D8" w:sz="4"/>
              <w:bottom w:val="single" w:color="6A0DAD" w:sz="8"/>
              <w:right w:val="single" w:color="C0A0D8" w:sz="4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6A0DAD" w:sz="8"/>
              <w:right w:val="single" w:color="C0A0D8" w:sz="4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Main Strategy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6A0DAD" w:sz="8"/>
              <w:right w:val="single" w:color="C0A0D8" w:sz="4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Alt: Quality Filter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6A0DAD" w:sz="8"/>
              <w:right w:val="single" w:color="C0A0D8" w:sz="4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100/100 Neutral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6A0DAD" w:sz="8"/>
              <w:right w:val="single" w:color="C0A0D8" w:sz="4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EW Benchmark</w:t>
            </w:r>
          </w:p>
        </w:tc>
      </w:tr>
      <w:tr>
        <w:tc>
          <w:tcPr>
            <w:tcW w:type="dxa" w:w="27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Ann. Return (%)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16.65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16.04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1.54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15.75</w:t>
            </w:r>
          </w:p>
        </w:tc>
      </w:tr>
      <w:tr>
        <w:tc>
          <w:tcPr>
            <w:tcW w:type="dxa" w:w="27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Ann. Std Dev (%)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16.18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16.31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18.74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15.62</w:t>
            </w:r>
          </w:p>
        </w:tc>
      </w:tr>
      <w:tr>
        <w:tc>
          <w:tcPr>
            <w:tcW w:type="dxa" w:w="27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Info Sharpe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1.029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0.984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00000"/>
                <w:sz w:val="17"/>
                <w:szCs w:val="17"/>
              </w:rPr>
              <w:t xml:space="preserve">0.082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1.009</w:t>
            </w:r>
          </w:p>
        </w:tc>
      </w:tr>
      <w:tr>
        <w:tc>
          <w:tcPr>
            <w:tcW w:type="dxa" w:w="27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Positive Months (%)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65.96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64.54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50.35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68.31</w:t>
            </w:r>
          </w:p>
        </w:tc>
      </w:tr>
      <w:tr>
        <w:tc>
          <w:tcPr>
            <w:tcW w:type="dxa" w:w="27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Monthly Skew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−0.097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−0.063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−0.556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−0.303</w:t>
            </w:r>
          </w:p>
        </w:tc>
      </w:tr>
      <w:tr>
        <w:tc>
          <w:tcPr>
            <w:tcW w:type="dxa" w:w="27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Excess Kurtosis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0.834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0.727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1.585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1.585</w:t>
            </w:r>
          </w:p>
        </w:tc>
      </w:tr>
      <w:tr>
        <w:tc>
          <w:tcPr>
            <w:tcW w:type="dxa" w:w="27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Monthly Max (%)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13.90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13.91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11.75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14.70</w:t>
            </w:r>
          </w:p>
        </w:tc>
      </w:tr>
      <w:tr>
        <w:tc>
          <w:tcPr>
            <w:tcW w:type="dxa" w:w="27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Median Monthly Ret (%)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1.38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1.34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0.03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1.42</w:t>
            </w:r>
          </w:p>
        </w:tc>
      </w:tr>
      <w:tr>
        <w:tc>
          <w:tcPr>
            <w:tcW w:type="dxa" w:w="27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Q1 (%)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−1.51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−1.51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−3.11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−1.17</w:t>
            </w:r>
          </w:p>
        </w:tc>
      </w:tr>
      <w:tr>
        <w:tc>
          <w:tcPr>
            <w:tcW w:type="dxa" w:w="27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Max Drawdown (%)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−20.07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−20.06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−48.23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−23.09</w:t>
            </w:r>
          </w:p>
        </w:tc>
      </w:tr>
      <w:tr>
        <w:tc>
          <w:tcPr>
            <w:tcW w:type="dxa" w:w="27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Avg Monthly Turnover (%)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24.54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24.03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42.88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0.00</w:t>
            </w:r>
          </w:p>
        </w:tc>
      </w:tr>
      <w:tr>
        <w:tc>
          <w:tcPr>
            <w:tcW w:type="dxa" w:w="27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Correlation w/ Bench.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0.785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0.773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−0.290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1.000</w:t>
            </w:r>
          </w:p>
        </w:tc>
      </w:tr>
      <w:tr>
        <w:tc>
          <w:tcPr>
            <w:tcW w:type="dxa" w:w="27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OLS Beta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0.810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—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−0.347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1.000</w:t>
            </w:r>
          </w:p>
        </w:tc>
      </w:tr>
      <w:tr>
        <w:tc>
          <w:tcPr>
            <w:tcW w:type="dxa" w:w="27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Monthly Alpha (bps)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+31.9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—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+58.6</w:t>
            </w:r>
          </w:p>
        </w:tc>
        <w:tc>
          <w:tcPr>
            <w:tcW w:type="dxa" w:w="165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0.0</w:t>
            </w:r>
          </w:p>
        </w:tc>
      </w:tr>
    </w:tbl>
    <w:p>
      <w:pPr>
        <w:spacing w:before="60" w:after="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Main Strategy vs Benchmark: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The strategy achieves Info Sharpe 1.029 vs 1.009 for the benchmark. The Sharpe edge is modest in absolute terms, but the strategy dominates on risk management: max drawdown is 20.1% vs 23.1%, monthly skew is near-zero (−0.10) vs −0.30, and kurtosis is 0.83 vs 1.59 — all indicating a substantially better-behaved return distribution.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100/100 Market-Neutral Reference: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Info Sharpe 0.082, max drawdown −48.2%, negative correlation with the benchmark (−0.29). This confirms that isolated factor alpha from these four factors is weak in the 2014–2025 period. The 11-year OOS window is dominated by a growth regime that systematically penalised value factors. This is a market observation, not a model failure.</w:t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Step 11 — Sensitivity Analysis (Robustness Testing)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What we did: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Tested robustness along two independent parameter dimensions to confirm that the main strategy's results are not artifacts of cherry-picked parameters.</w:t>
      </w:r>
    </w:p>
    <w:p>
      <w:pPr>
        <w:pStyle w:val="Heading2"/>
        <w:spacing w:before="160" w:after="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Sensitivity A: Short-leg hedge ratio (100/100, 100/70, 100/40, 100/0)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0A0D8" w:sz="4"/>
              <w:left w:val="single" w:color="C0A0D8" w:sz="4"/>
              <w:bottom w:val="single" w:color="6A0DAD" w:sz="8"/>
              <w:right w:val="single" w:color="C0A0D8" w:sz="4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560"/>
            <w:tcBorders>
              <w:top w:val="single" w:color="C0A0D8" w:sz="4"/>
              <w:left w:val="single" w:color="C0A0D8" w:sz="4"/>
              <w:bottom w:val="single" w:color="6A0DAD" w:sz="8"/>
              <w:right w:val="single" w:color="C0A0D8" w:sz="4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Ann. Return</w:t>
            </w:r>
          </w:p>
        </w:tc>
        <w:tc>
          <w:tcPr>
            <w:tcW w:type="dxa" w:w="1560"/>
            <w:tcBorders>
              <w:top w:val="single" w:color="C0A0D8" w:sz="4"/>
              <w:left w:val="single" w:color="C0A0D8" w:sz="4"/>
              <w:bottom w:val="single" w:color="6A0DAD" w:sz="8"/>
              <w:right w:val="single" w:color="C0A0D8" w:sz="4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 Sharpe</w:t>
            </w:r>
          </w:p>
        </w:tc>
        <w:tc>
          <w:tcPr>
            <w:tcW w:type="dxa" w:w="1560"/>
            <w:tcBorders>
              <w:top w:val="single" w:color="C0A0D8" w:sz="4"/>
              <w:left w:val="single" w:color="C0A0D8" w:sz="4"/>
              <w:bottom w:val="single" w:color="6A0DAD" w:sz="8"/>
              <w:right w:val="single" w:color="C0A0D8" w:sz="4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DD</w:t>
            </w:r>
          </w:p>
        </w:tc>
        <w:tc>
          <w:tcPr>
            <w:tcW w:type="dxa" w:w="1560"/>
            <w:tcBorders>
              <w:top w:val="single" w:color="C0A0D8" w:sz="4"/>
              <w:left w:val="single" w:color="C0A0D8" w:sz="4"/>
              <w:bottom w:val="single" w:color="6A0DAD" w:sz="8"/>
              <w:right w:val="single" w:color="C0A0D8" w:sz="4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OLS β</w:t>
            </w:r>
          </w:p>
        </w:tc>
        <w:tc>
          <w:tcPr>
            <w:tcW w:type="dxa" w:w="1560"/>
            <w:tcBorders>
              <w:top w:val="single" w:color="C0A0D8" w:sz="4"/>
              <w:left w:val="single" w:color="C0A0D8" w:sz="4"/>
              <w:bottom w:val="single" w:color="6A0DAD" w:sz="8"/>
              <w:right w:val="single" w:color="C0A0D8" w:sz="4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 (bps/mo)</w:t>
            </w:r>
          </w:p>
        </w:tc>
      </w:tr>
      <w:tr>
        <w:tc>
          <w:tcPr>
            <w:tcW w:type="dxa" w:w="15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100/100</w:t>
            </w:r>
          </w:p>
        </w:tc>
        <w:tc>
          <w:tcPr>
            <w:tcW w:type="dxa" w:w="15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13.77%</w:t>
            </w:r>
          </w:p>
        </w:tc>
        <w:tc>
          <w:tcPr>
            <w:tcW w:type="dxa" w:w="15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0.858</w:t>
            </w:r>
          </w:p>
        </w:tc>
        <w:tc>
          <w:tcPr>
            <w:tcW w:type="dxa" w:w="15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−23.08%</w:t>
            </w:r>
          </w:p>
        </w:tc>
        <w:tc>
          <w:tcPr>
            <w:tcW w:type="dxa" w:w="15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0.583</w:t>
            </w:r>
          </w:p>
        </w:tc>
        <w:tc>
          <w:tcPr>
            <w:tcW w:type="dxa" w:w="15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37.8</w:t>
            </w:r>
          </w:p>
        </w:tc>
      </w:tr>
      <w:tr>
        <w:tc>
          <w:tcPr>
            <w:tcW w:type="dxa" w:w="15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100/70</w:t>
            </w:r>
          </w:p>
        </w:tc>
        <w:tc>
          <w:tcPr>
            <w:tcW w:type="dxa" w:w="15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15.21%</w:t>
            </w:r>
          </w:p>
        </w:tc>
        <w:tc>
          <w:tcPr>
            <w:tcW w:type="dxa" w:w="15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0.964</w:t>
            </w:r>
          </w:p>
        </w:tc>
        <w:tc>
          <w:tcPr>
            <w:tcW w:type="dxa" w:w="15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−20.07%</w:t>
            </w:r>
          </w:p>
        </w:tc>
        <w:tc>
          <w:tcPr>
            <w:tcW w:type="dxa" w:w="15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0.696</w:t>
            </w:r>
          </w:p>
        </w:tc>
        <w:tc>
          <w:tcPr>
            <w:tcW w:type="dxa" w:w="15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34.8</w:t>
            </w:r>
          </w:p>
        </w:tc>
      </w:tr>
      <w:tr>
        <w:tc>
          <w:tcPr>
            <w:tcW w:type="dxa" w:w="15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100/40 ★</w:t>
            </w:r>
          </w:p>
        </w:tc>
        <w:tc>
          <w:tcPr>
            <w:tcW w:type="dxa" w:w="15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16.65%</w:t>
            </w:r>
          </w:p>
        </w:tc>
        <w:tc>
          <w:tcPr>
            <w:tcW w:type="dxa" w:w="15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1.029</w:t>
            </w:r>
          </w:p>
        </w:tc>
        <w:tc>
          <w:tcPr>
            <w:tcW w:type="dxa" w:w="15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−20.07%</w:t>
            </w:r>
          </w:p>
        </w:tc>
        <w:tc>
          <w:tcPr>
            <w:tcW w:type="dxa" w:w="15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0.810</w:t>
            </w:r>
          </w:p>
        </w:tc>
        <w:tc>
          <w:tcPr>
            <w:tcW w:type="dxa" w:w="15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31.9</w:t>
            </w:r>
          </w:p>
        </w:tc>
      </w:tr>
      <w:tr>
        <w:tc>
          <w:tcPr>
            <w:tcW w:type="dxa" w:w="15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100/0</w:t>
            </w:r>
          </w:p>
        </w:tc>
        <w:tc>
          <w:tcPr>
            <w:tcW w:type="dxa" w:w="15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18.57%</w:t>
            </w:r>
          </w:p>
        </w:tc>
        <w:tc>
          <w:tcPr>
            <w:tcW w:type="dxa" w:w="15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1.049</w:t>
            </w:r>
          </w:p>
        </w:tc>
        <w:tc>
          <w:tcPr>
            <w:tcW w:type="dxa" w:w="15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−20.06%</w:t>
            </w:r>
          </w:p>
        </w:tc>
        <w:tc>
          <w:tcPr>
            <w:tcW w:type="dxa" w:w="15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0.961</w:t>
            </w:r>
          </w:p>
        </w:tc>
        <w:tc>
          <w:tcPr>
            <w:tcW w:type="dxa" w:w="1560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27.9</w:t>
            </w:r>
          </w:p>
        </w:tc>
      </w:tr>
    </w:tbl>
    <w:p>
      <w:pPr>
        <w:spacing w:before="40" w:after="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Interpretation: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as the short leg decreases (higher net-long exposure), Sharpe increases but so does OLS beta. Monthly alpha (bps) decreases monotonically, confirming that the Sharpe improvement is driven by beta accretion in a 11-year bull market, not by stronger factor alpha. We chose 100/40 as it offers a good balance between Sharpe and transparency of beta exposure.</w:t>
      </w:r>
    </w:p>
    <w:p>
      <w:pPr>
        <w:spacing w:before="80" w:after="0"/>
      </w:pPr>
    </w:p>
    <w:p>
      <w:pPr>
        <w:pStyle w:val="Heading2"/>
        <w:spacing w:before="160" w:after="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Sensitivity B: Regime SMA lookback window (6, 10, 12, 18 months)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0A0D8" w:sz="4"/>
              <w:left w:val="single" w:color="C0A0D8" w:sz="4"/>
              <w:bottom w:val="single" w:color="6A0DAD" w:sz="8"/>
              <w:right w:val="single" w:color="C0A0D8" w:sz="4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SMA Window</w:t>
            </w:r>
          </w:p>
        </w:tc>
        <w:tc>
          <w:tcPr>
            <w:tcW w:type="dxa" w:w="1872"/>
            <w:tcBorders>
              <w:top w:val="single" w:color="C0A0D8" w:sz="4"/>
              <w:left w:val="single" w:color="C0A0D8" w:sz="4"/>
              <w:bottom w:val="single" w:color="6A0DAD" w:sz="8"/>
              <w:right w:val="single" w:color="C0A0D8" w:sz="4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Ann. Return</w:t>
            </w:r>
          </w:p>
        </w:tc>
        <w:tc>
          <w:tcPr>
            <w:tcW w:type="dxa" w:w="1872"/>
            <w:tcBorders>
              <w:top w:val="single" w:color="C0A0D8" w:sz="4"/>
              <w:left w:val="single" w:color="C0A0D8" w:sz="4"/>
              <w:bottom w:val="single" w:color="6A0DAD" w:sz="8"/>
              <w:right w:val="single" w:color="C0A0D8" w:sz="4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 Sharpe</w:t>
            </w:r>
          </w:p>
        </w:tc>
        <w:tc>
          <w:tcPr>
            <w:tcW w:type="dxa" w:w="1872"/>
            <w:tcBorders>
              <w:top w:val="single" w:color="C0A0D8" w:sz="4"/>
              <w:left w:val="single" w:color="C0A0D8" w:sz="4"/>
              <w:bottom w:val="single" w:color="6A0DAD" w:sz="8"/>
              <w:right w:val="single" w:color="C0A0D8" w:sz="4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Pos. Months</w:t>
            </w:r>
          </w:p>
        </w:tc>
        <w:tc>
          <w:tcPr>
            <w:tcW w:type="dxa" w:w="1872"/>
            <w:tcBorders>
              <w:top w:val="single" w:color="C0A0D8" w:sz="4"/>
              <w:left w:val="single" w:color="C0A0D8" w:sz="4"/>
              <w:bottom w:val="single" w:color="6A0DAD" w:sz="8"/>
              <w:right w:val="single" w:color="C0A0D8" w:sz="4"/>
            </w:tcBorders>
            <w:shd w:fill="6A0D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DD</w:t>
            </w:r>
          </w:p>
        </w:tc>
      </w:tr>
      <w:tr>
        <w:tc>
          <w:tcPr>
            <w:tcW w:type="dxa" w:w="1872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SMA-6</w:t>
            </w:r>
          </w:p>
        </w:tc>
        <w:tc>
          <w:tcPr>
            <w:tcW w:type="dxa" w:w="1872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15.42%</w:t>
            </w:r>
          </w:p>
        </w:tc>
        <w:tc>
          <w:tcPr>
            <w:tcW w:type="dxa" w:w="1872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0.977</w:t>
            </w:r>
          </w:p>
        </w:tc>
        <w:tc>
          <w:tcPr>
            <w:tcW w:type="dxa" w:w="1872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65.25%</w:t>
            </w:r>
          </w:p>
        </w:tc>
        <w:tc>
          <w:tcPr>
            <w:tcW w:type="dxa" w:w="1872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−20.07%</w:t>
            </w:r>
          </w:p>
        </w:tc>
      </w:tr>
      <w:tr>
        <w:tc>
          <w:tcPr>
            <w:tcW w:type="dxa" w:w="1872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SMA-10 ★</w:t>
            </w:r>
          </w:p>
        </w:tc>
        <w:tc>
          <w:tcPr>
            <w:tcW w:type="dxa" w:w="1872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16.65%</w:t>
            </w:r>
          </w:p>
        </w:tc>
        <w:tc>
          <w:tcPr>
            <w:tcW w:type="dxa" w:w="1872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7"/>
                <w:szCs w:val="17"/>
              </w:rPr>
              <w:t xml:space="preserve">1.029</w:t>
            </w:r>
          </w:p>
        </w:tc>
        <w:tc>
          <w:tcPr>
            <w:tcW w:type="dxa" w:w="1872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65.96%</w:t>
            </w:r>
          </w:p>
        </w:tc>
        <w:tc>
          <w:tcPr>
            <w:tcW w:type="dxa" w:w="1872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−20.07%</w:t>
            </w:r>
          </w:p>
        </w:tc>
      </w:tr>
      <w:tr>
        <w:tc>
          <w:tcPr>
            <w:tcW w:type="dxa" w:w="1872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SMA-12</w:t>
            </w:r>
          </w:p>
        </w:tc>
        <w:tc>
          <w:tcPr>
            <w:tcW w:type="dxa" w:w="1872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16.79%</w:t>
            </w:r>
          </w:p>
        </w:tc>
        <w:tc>
          <w:tcPr>
            <w:tcW w:type="dxa" w:w="1872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1.037</w:t>
            </w:r>
          </w:p>
        </w:tc>
        <w:tc>
          <w:tcPr>
            <w:tcW w:type="dxa" w:w="1872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65.96%</w:t>
            </w:r>
          </w:p>
        </w:tc>
        <w:tc>
          <w:tcPr>
            <w:tcW w:type="dxa" w:w="1872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−20.07%</w:t>
            </w:r>
          </w:p>
        </w:tc>
      </w:tr>
      <w:tr>
        <w:tc>
          <w:tcPr>
            <w:tcW w:type="dxa" w:w="1872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SMA-18</w:t>
            </w:r>
          </w:p>
        </w:tc>
        <w:tc>
          <w:tcPr>
            <w:tcW w:type="dxa" w:w="1872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17.67%</w:t>
            </w:r>
          </w:p>
        </w:tc>
        <w:tc>
          <w:tcPr>
            <w:tcW w:type="dxa" w:w="1872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1.018</w:t>
            </w:r>
          </w:p>
        </w:tc>
        <w:tc>
          <w:tcPr>
            <w:tcW w:type="dxa" w:w="1872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65.96%</w:t>
            </w:r>
          </w:p>
        </w:tc>
        <w:tc>
          <w:tcPr>
            <w:tcW w:type="dxa" w:w="1872"/>
            <w:tcBorders>
              <w:top w:val="single" w:color="C0A0D8" w:sz="4"/>
              <w:left w:val="single" w:color="C0A0D8" w:sz="4"/>
              <w:bottom w:val="single" w:color="C0A0D8" w:sz="4"/>
              <w:right w:val="single" w:color="C0A0D8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−20.06%</w:t>
            </w:r>
          </w:p>
        </w:tc>
      </w:tr>
    </w:tbl>
    <w:p>
      <w:pPr>
        <w:spacing w:before="40" w:after="0"/>
      </w:pPr>
    </w:p>
    <w:p>
      <w:pPr>
        <w:spacing w:before="4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Interpretation: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Info Sharpe is stable in the range 0.977–1.037 across SMA windows of 6 to 18 months. Max drawdown is near-identical (−20.06% to −20.07%) for all configurations. This confirms that the result is robust and not a cherry-picked SMA parameter. SMA-10 was chosen because it captures approximately one business cycle quarter of trend signal.</w:t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Step 12 — Strategic Alternative: Quality Short-Filter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What we did: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Tested a variant of the main strategy that adds a fundamental quality gate to the short book.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Motivation: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Blindly shorting the bottom composite-score decile creates exposure to 'junk rallies' — heavily shorted, fundamentally weak stocks that can squeeze sharply during risk-on episodes (the 2020–2021 meme stock era is a recent example). Requiring a minimum fundamental quality threshold for short candidates should reduce squeeze risk.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Implementation: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A stock qualifies for the short book if and only if it satisfies two simultaneous conditions: (1) bottom-10th-percentile composite score, and (2) negative ROE — actively destroying shareholder equity.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Result: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Info Sharpe 0.984 vs. 1.029 for the main strategy. Max drawdown near-identical (−20.06%). Slightly lower turnover (24.0% vs 24.5%), suggesting the quality filter marginally reduces unnecessary short positions. The limited performance difference suggests the regime filter already handles most of the junk-rally risk by deactivating the short book 84.5% of the time.</w:t>
      </w:r>
    </w:p>
    <w:p>
      <w:pPr>
        <w:spacing w:before="80" w:after="0"/>
      </w:pPr>
    </w:p>
    <w:p>
      <w:pPr>
        <w:pBdr>
          <w:bottom w:val="single" w:color="6A0DAD" w:sz="6" w:space="1"/>
        </w:pBdr>
        <w:spacing w:before="60" w:after="60"/>
      </w:pPr>
    </w:p>
    <w:p>
      <w:pPr>
        <w:spacing w:before="40" w:after="0"/>
      </w:pP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Main Conclusions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1. IC weighting is essential: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three of the four factors have negative predictive power in the 2010–2013 burn-in period. Equal weighting would have produced negative returns on the combined signal.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2. The regime filter drives most of the risk-adjusted improvement: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switching to 100/0 in bull markets eliminates the persistent short drag that destroys the 100/100 strategy's returns.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3. Pure factor alpha is modest: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the 100/100 market-neutral Sharpe of 0.082 is an honest finding. The strategy's 1.029 Sharpe includes deliberate beta exposure (OLS β = 0.81), fully disclosed.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4. The quality short-filter adds limited value: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the regime overlay already deactivates the short book in the vast majority of months, making the quality gate redundant in practice.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5. Key pitfall — survivorship bias: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absent delisted constituents inflate short-leg backtested performance. A dataset with historically accurate index constituents would likely yield lower returns, particularly on the short side.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○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80" w:after="100"/>
      <w:outlineLvl w:val="0"/>
    </w:pPr>
    <w:rPr>
      <w:rFonts w:ascii="Arial" w:cs="Arial" w:eastAsia="Arial" w:hAnsi="Arial"/>
      <w:b/>
      <w:bCs/>
      <w:color w:val="6A0DAD"/>
      <w:sz w:val="28"/>
      <w:szCs w:val="28"/>
    </w:rPr>
  </w:style>
  <w:style w:type="paragraph" w:styleId="Heading2">
    <w:name w:val="Heading 2"/>
    <w:basedOn w:val="Normal"/>
    <w:next w:val="Normal"/>
    <w:pPr>
      <w:spacing w:before="160" w:after="60"/>
      <w:outlineLvl w:val="1"/>
    </w:pPr>
    <w:rPr>
      <w:rFonts w:ascii="Arial" w:cs="Arial" w:eastAsia="Arial" w:hAnsi="Arial"/>
      <w:b/>
      <w:bCs/>
      <w:color w:val="2D2D2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2026-03-04T23:08:08.932Z</dcterms:created>
  <dcterms:modified xsi:type="dcterms:W3CDTF">2026-03-04T23:08:08.933Z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