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7D" w:rsidRPr="003021A6" w:rsidRDefault="003021A6" w:rsidP="003021A6">
      <w:pPr>
        <w:jc w:val="center"/>
        <w:rPr>
          <w:b/>
          <w:sz w:val="24"/>
          <w:szCs w:val="24"/>
        </w:rPr>
      </w:pPr>
      <w:r w:rsidRPr="003021A6">
        <w:rPr>
          <w:b/>
          <w:sz w:val="24"/>
          <w:szCs w:val="24"/>
        </w:rPr>
        <w:t>DI1 Interest Rate Futures</w:t>
      </w:r>
      <w:r w:rsidR="001318FD">
        <w:rPr>
          <w:b/>
          <w:sz w:val="24"/>
          <w:szCs w:val="24"/>
        </w:rPr>
        <w:br/>
      </w:r>
      <w:r w:rsidR="001318FD" w:rsidRPr="001318FD">
        <w:rPr>
          <w:sz w:val="24"/>
          <w:szCs w:val="24"/>
        </w:rPr>
        <w:t>(1D Interbank Deposit Futures)</w:t>
      </w:r>
    </w:p>
    <w:p w:rsidR="00862BCE" w:rsidRDefault="00862BCE" w:rsidP="003021A6">
      <w:pPr>
        <w:jc w:val="both"/>
        <w:rPr>
          <w:b/>
          <w:u w:val="single"/>
        </w:rPr>
      </w:pPr>
      <w:bookmarkStart w:id="0" w:name="_GoBack"/>
      <w:bookmarkEnd w:id="0"/>
    </w:p>
    <w:p w:rsidR="00960E68" w:rsidRPr="00B252DE" w:rsidRDefault="00960E68" w:rsidP="003021A6">
      <w:pPr>
        <w:jc w:val="both"/>
        <w:rPr>
          <w:b/>
        </w:rPr>
      </w:pPr>
      <w:r w:rsidRPr="00B252DE">
        <w:rPr>
          <w:b/>
        </w:rPr>
        <w:t>Introduction</w:t>
      </w:r>
    </w:p>
    <w:p w:rsidR="00487A3A" w:rsidRDefault="002B0646" w:rsidP="002B0646">
      <w:pPr>
        <w:jc w:val="both"/>
      </w:pPr>
      <w:r>
        <w:t>F</w:t>
      </w:r>
      <w:r w:rsidR="00B252DE">
        <w:t xml:space="preserve">utures are short interest rate instruments, </w:t>
      </w:r>
      <w:r>
        <w:t xml:space="preserve">consequently </w:t>
      </w:r>
      <w:r w:rsidR="00B252DE">
        <w:t>being long a</w:t>
      </w:r>
      <w:r>
        <w:t xml:space="preserve"> DI1</w:t>
      </w:r>
      <w:r w:rsidR="00B252DE">
        <w:t xml:space="preserve"> future is tantamount to being short </w:t>
      </w:r>
      <w:r w:rsidR="00313D68">
        <w:t xml:space="preserve">CDI </w:t>
      </w:r>
      <w:r w:rsidR="00B252DE">
        <w:t>interest rates</w:t>
      </w:r>
      <w:r w:rsidR="00487A3A">
        <w:t xml:space="preserve">. </w:t>
      </w:r>
      <w:r w:rsidR="00487A3A">
        <w:t>Over the life of the futures contract when rates fall we profit and if rates climb we lose.</w:t>
      </w:r>
      <w:r w:rsidR="00487A3A">
        <w:t xml:space="preserve"> </w:t>
      </w:r>
      <w:r w:rsidR="00487A3A">
        <w:t>Futures are exchange traded so any profit or loss is cash settled on a daily basis.</w:t>
      </w:r>
    </w:p>
    <w:p w:rsidR="00313D68" w:rsidRDefault="00487A3A" w:rsidP="002B0646">
      <w:pPr>
        <w:jc w:val="both"/>
      </w:pPr>
      <w:r>
        <w:br/>
      </w:r>
      <w:r w:rsidR="00313D68">
        <w:t>A DI1 futures</w:t>
      </w:r>
      <w:r w:rsidR="002B0646">
        <w:t xml:space="preserve"> contract</w:t>
      </w:r>
      <w:r w:rsidR="00313D68">
        <w:t xml:space="preserve"> </w:t>
      </w:r>
      <w:r w:rsidR="00CD73B9">
        <w:t>purchases a future cash flow of BRL 100,000</w:t>
      </w:r>
      <w:r w:rsidR="00313D68">
        <w:t>. The value of this cash amount is discounted using DI rates</w:t>
      </w:r>
      <w:r w:rsidR="00CD73B9">
        <w:t xml:space="preserve"> and is quoted as the cash settlement price.</w:t>
      </w:r>
      <w:r w:rsidR="00313D68">
        <w:t xml:space="preserve"> If on day 1 the discount factor is 0.90 say</w:t>
      </w:r>
      <w:r w:rsidR="00CD73B9">
        <w:t xml:space="preserve"> then the cash value is BRL 90,000.</w:t>
      </w:r>
      <w:r w:rsidR="002B0646">
        <w:t xml:space="preserve"> At contract maturity we receive the BRL 10</w:t>
      </w:r>
      <w:r>
        <w:t>0</w:t>
      </w:r>
      <w:r w:rsidR="002B0646">
        <w:t>,000.</w:t>
      </w:r>
    </w:p>
    <w:p w:rsidR="00B252DE" w:rsidRDefault="00B252DE" w:rsidP="003021A6">
      <w:pPr>
        <w:jc w:val="both"/>
      </w:pPr>
    </w:p>
    <w:p w:rsidR="00487A3A" w:rsidRDefault="00487A3A" w:rsidP="00487A3A">
      <w:pPr>
        <w:jc w:val="both"/>
      </w:pPr>
      <w:r>
        <w:t>DI1 futures are one-day interbank deposit futures (DI1) in the Brazilian onshore market. They have an underlying rate R computed as the average of 1D CDI rate compounded daily on a Bus/252 day count basis. (Note Bus/252 = Act/252)</w:t>
      </w:r>
    </w:p>
    <w:p w:rsidR="00487A3A" w:rsidRDefault="00487A3A" w:rsidP="003021A6">
      <w:pPr>
        <w:jc w:val="both"/>
      </w:pPr>
    </w:p>
    <w:p w:rsidR="00D20AB8" w:rsidRDefault="00661554" w:rsidP="003021A6">
      <w:pPr>
        <w:jc w:val="both"/>
        <w:rPr>
          <w:b/>
        </w:rPr>
      </w:pPr>
      <w:r w:rsidRPr="00661554">
        <w:rPr>
          <w:b/>
        </w:rPr>
        <w:t>Daily Compounded Rate, R</w:t>
      </w:r>
    </w:p>
    <w:p w:rsidR="00661554" w:rsidRPr="0011692D" w:rsidRDefault="00661554" w:rsidP="003021A6">
      <w:pPr>
        <w:jc w:val="both"/>
        <w:rPr>
          <w:b/>
        </w:rPr>
      </w:pPr>
      <m:oMathPara>
        <m:oMath>
          <m:r>
            <w:rPr>
              <w:rFonts w:ascii="Cambria Math" w:hAnsi="Cambria Math"/>
            </w:rPr>
            <m:t xml:space="preserve">R(t,T)=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CDI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/252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252</m:t>
                      </m:r>
                    </m:den>
                  </m:f>
                </m:e>
              </m:d>
            </m:den>
          </m:f>
        </m:oMath>
      </m:oMathPara>
    </w:p>
    <w:p w:rsidR="00661554" w:rsidRDefault="00661554" w:rsidP="003021A6">
      <w:pPr>
        <w:jc w:val="both"/>
      </w:pPr>
      <w:r>
        <w:t>w</w:t>
      </w:r>
      <w:r w:rsidRPr="00661554">
        <w:t xml:space="preserve">here </w:t>
      </w:r>
      <w:r w:rsidR="004D14DF">
        <w:t xml:space="preserve">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4D14DF">
        <w:rPr>
          <w:rFonts w:eastAsiaTheme="minorEastAsia"/>
        </w:rPr>
        <w:t xml:space="preserve"> </w:t>
      </w:r>
      <w:r w:rsidR="004D14DF">
        <w:t xml:space="preserve">the total number of interest days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14DF">
        <w:rPr>
          <w:rFonts w:eastAsiaTheme="minorEastAsia"/>
        </w:rPr>
        <w:t xml:space="preserve"> </w:t>
      </w:r>
      <w:r w:rsidR="007B1ABC">
        <w:t xml:space="preserve">= number of days each individual </w:t>
      </w:r>
      <w:r w:rsidRPr="00661554">
        <w:t>1D CDI rate is applicable</w:t>
      </w:r>
      <w:r w:rsidR="004D14DF">
        <w:t>; e</w:t>
      </w:r>
      <w:r w:rsidRPr="00661554">
        <w:t xml:space="preserve">very weekday counts for 1 day </w:t>
      </w:r>
      <w:r w:rsidR="004D14DF">
        <w:t xml:space="preserve">of interest </w:t>
      </w:r>
      <w:r w:rsidRPr="00661554">
        <w:t xml:space="preserve">except for Friday which counts for 3 days </w:t>
      </w:r>
      <w:r w:rsidR="00487A3A">
        <w:t>to account for interest payable on Friday and to carry the position over the weekend.</w:t>
      </w:r>
      <w:r w:rsidR="004D14DF">
        <w:t xml:space="preserve"> </w:t>
      </w:r>
    </w:p>
    <w:p w:rsidR="004D14DF" w:rsidRPr="004D14DF" w:rsidRDefault="004D14DF" w:rsidP="003021A6">
      <w:pPr>
        <w:jc w:val="both"/>
      </w:pPr>
    </w:p>
    <w:p w:rsidR="0011692D" w:rsidRDefault="00A53006" w:rsidP="003021A6">
      <w:pPr>
        <w:jc w:val="both"/>
        <w:rPr>
          <w:b/>
        </w:rPr>
      </w:pPr>
      <w:r>
        <w:rPr>
          <w:b/>
        </w:rPr>
        <w:t>Unit Price</w:t>
      </w:r>
    </w:p>
    <w:p w:rsidR="00A53006" w:rsidRPr="008D2345" w:rsidRDefault="00A53006" w:rsidP="0011692D">
      <w:pPr>
        <w:jc w:val="center"/>
        <w:rPr>
          <w:b/>
        </w:rPr>
      </w:pPr>
      <w:r w:rsidRPr="008D2345">
        <w:rPr>
          <w:b/>
        </w:rPr>
        <w:t>100,000</w:t>
      </w:r>
    </w:p>
    <w:p w:rsidR="0011692D" w:rsidRDefault="00A53006" w:rsidP="003021A6">
      <w:pPr>
        <w:jc w:val="both"/>
        <w:rPr>
          <w:b/>
        </w:rPr>
      </w:pPr>
      <w:r>
        <w:rPr>
          <w:b/>
        </w:rPr>
        <w:t>Tick Size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53006" w:rsidRPr="008D2345" w:rsidRDefault="00A53006" w:rsidP="0011692D">
      <w:pPr>
        <w:jc w:val="center"/>
        <w:rPr>
          <w:b/>
        </w:rPr>
      </w:pPr>
      <w:r w:rsidRPr="008D2345">
        <w:rPr>
          <w:b/>
        </w:rPr>
        <w:t>0.01</w:t>
      </w:r>
    </w:p>
    <w:p w:rsidR="001318FD" w:rsidRDefault="001318FD" w:rsidP="00DF4F0B">
      <w:pPr>
        <w:rPr>
          <w:b/>
        </w:rPr>
      </w:pPr>
    </w:p>
    <w:p w:rsidR="00DF4F0B" w:rsidRPr="001D38E9" w:rsidRDefault="00DF4F0B" w:rsidP="00DF4F0B">
      <w:pPr>
        <w:rPr>
          <w:b/>
        </w:rPr>
      </w:pPr>
      <w:r>
        <w:rPr>
          <w:b/>
        </w:rPr>
        <w:t>Capitali</w:t>
      </w:r>
      <w:r w:rsidRPr="001D38E9">
        <w:rPr>
          <w:b/>
        </w:rPr>
        <w:t>zatio</w:t>
      </w:r>
      <w:r>
        <w:rPr>
          <w:b/>
        </w:rPr>
        <w:t>n Factor</w:t>
      </w:r>
    </w:p>
    <w:p w:rsidR="001D38E9" w:rsidRDefault="00661554" w:rsidP="003021A6">
      <w:pPr>
        <w:jc w:val="both"/>
      </w:pPr>
      <w:r>
        <w:t>DI1</w:t>
      </w:r>
      <w:r w:rsidR="001D38E9">
        <w:t xml:space="preserve"> futures represent BRL 10,000 discounted by the interest rate R. The discount factor is computed as the reciprocal of the growth or capitalization factor c</w:t>
      </w:r>
      <w:r>
        <w:t xml:space="preserve">omputed </w:t>
      </w:r>
      <w:r w:rsidR="00A53006">
        <w:t>using</w:t>
      </w:r>
      <w:r>
        <w:t xml:space="preserve"> simple compounding and rounded to 7 decimal places.</w:t>
      </w:r>
      <w:r w:rsidR="00A53006">
        <w:t xml:space="preserve"> The day</w:t>
      </w:r>
      <w:r w:rsidR="009F26B9">
        <w:t xml:space="preserve"> </w:t>
      </w:r>
      <w:r w:rsidR="00A53006">
        <w:t xml:space="preserve">count fraction </w:t>
      </w:r>
      <m:oMath>
        <m:r>
          <w:rPr>
            <w:rFonts w:ascii="Cambria Math" w:hAnsi="Cambria Math"/>
          </w:rPr>
          <m:t>τ</m:t>
        </m:r>
      </m:oMath>
      <w:r w:rsidR="00A53006">
        <w:t xml:space="preserve"> is computed </w:t>
      </w:r>
      <w:r w:rsidR="001318FD">
        <w:t>using</w:t>
      </w:r>
      <w:r w:rsidR="00A53006">
        <w:t xml:space="preserve"> a Bus/252 basis.</w:t>
      </w:r>
    </w:p>
    <w:p w:rsidR="00DF4F0B" w:rsidRDefault="00DF4F0B" w:rsidP="001D38E9">
      <w:pPr>
        <w:jc w:val="center"/>
      </w:pPr>
    </w:p>
    <w:p w:rsidR="001D38E9" w:rsidRPr="00B22A44" w:rsidRDefault="009F26B9" w:rsidP="001D38E9">
      <w:pPr>
        <w:jc w:val="center"/>
        <w:rPr>
          <w:b/>
        </w:rPr>
      </w:pPr>
      <w:r w:rsidRPr="00B22A44">
        <w:rPr>
          <w:b/>
        </w:rPr>
        <w:t>Cap</w:t>
      </w:r>
      <w:r w:rsidR="008D2345" w:rsidRPr="00B22A44">
        <w:rPr>
          <w:b/>
        </w:rPr>
        <w:t>Fac</w:t>
      </w:r>
      <w:r w:rsidR="001D38E9" w:rsidRPr="00B22A44">
        <w:rPr>
          <w:b/>
        </w:rPr>
        <w:t xml:space="preserve"> = </w:t>
      </w:r>
      <m:oMath>
        <m:r>
          <m:rPr>
            <m:sty m:val="b"/>
          </m:rPr>
          <w:rPr>
            <w:rFonts w:ascii="Cambria Math" w:hAnsi="Cambria Math"/>
          </w:rPr>
          <m:t xml:space="preserve">round(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1+R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252</m:t>
                </m:r>
              </m:sup>
            </m:sSup>
          </m:sup>
        </m:sSup>
        <m:r>
          <m:rPr>
            <m:sty m:val="b"/>
          </m:rPr>
          <w:rPr>
            <w:rFonts w:ascii="Cambria Math" w:hAnsi="Cambria Math"/>
          </w:rPr>
          <m:t>, 7 )</m:t>
        </m:r>
      </m:oMath>
    </w:p>
    <w:p w:rsidR="00661554" w:rsidRDefault="00661554" w:rsidP="00661554">
      <w:pPr>
        <w:spacing w:line="240" w:lineRule="auto"/>
        <w:jc w:val="center"/>
      </w:pPr>
    </w:p>
    <w:p w:rsidR="001F2AFC" w:rsidRDefault="001F2AFC" w:rsidP="001F2AFC">
      <w:pPr>
        <w:spacing w:line="240" w:lineRule="auto"/>
        <w:jc w:val="both"/>
      </w:pPr>
      <w:r>
        <w:lastRenderedPageBreak/>
        <w:t xml:space="preserve">where we round the capitalization factor </w:t>
      </w:r>
      <w:r w:rsidRPr="009F26B9">
        <w:rPr>
          <w:b/>
        </w:rPr>
        <w:t>to 7 decimal places</w:t>
      </w:r>
      <w:r>
        <w:t xml:space="preserve"> so that when multiplied by the unit price of 100,000 we can achieve a price </w:t>
      </w:r>
      <w:r w:rsidR="009F26B9" w:rsidRPr="009F26B9">
        <w:rPr>
          <w:b/>
        </w:rPr>
        <w:t>to 2 decimal places</w:t>
      </w:r>
      <w:r w:rsidR="009F26B9">
        <w:t xml:space="preserve"> </w:t>
      </w:r>
      <w:r>
        <w:t>with a tick size of 0.01</w:t>
      </w:r>
      <w:r w:rsidR="009F26B9">
        <w:t>.</w:t>
      </w:r>
    </w:p>
    <w:p w:rsidR="00DF4F0B" w:rsidRDefault="00DF4F0B" w:rsidP="001318FD">
      <w:pPr>
        <w:spacing w:line="240" w:lineRule="auto"/>
      </w:pPr>
    </w:p>
    <w:p w:rsidR="001D38E9" w:rsidRDefault="001D38E9" w:rsidP="0011692D">
      <w:pPr>
        <w:spacing w:line="240" w:lineRule="auto"/>
        <w:rPr>
          <w:b/>
        </w:rPr>
      </w:pPr>
      <w:r w:rsidRPr="001D38E9">
        <w:rPr>
          <w:b/>
        </w:rPr>
        <w:t>Discount Factor</w:t>
      </w:r>
    </w:p>
    <w:p w:rsidR="00AB63F8" w:rsidRPr="00AB63F8" w:rsidRDefault="00AB63F8" w:rsidP="0011692D">
      <w:pPr>
        <w:spacing w:line="240" w:lineRule="auto"/>
      </w:pPr>
      <w:r w:rsidRPr="00AB63F8">
        <w:t>The discount factor is the inverse of the capitalization growth factor, rounded to 7 decimal places.</w:t>
      </w:r>
    </w:p>
    <w:p w:rsidR="001D38E9" w:rsidRPr="008D2345" w:rsidRDefault="001D38E9" w:rsidP="00661554">
      <w:pPr>
        <w:spacing w:line="240" w:lineRule="auto"/>
        <w:jc w:val="center"/>
        <w:rPr>
          <w:b/>
        </w:rPr>
      </w:pPr>
      <w:r w:rsidRPr="008D2345">
        <w:rPr>
          <w:b/>
        </w:rPr>
        <w:t xml:space="preserve">DF = </w:t>
      </w:r>
      <w:r w:rsidR="00D20AB8" w:rsidRPr="008D2345">
        <w:rPr>
          <w:b/>
        </w:rPr>
        <w:t xml:space="preserve">1 /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(1+R)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252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AB63F8">
        <w:rPr>
          <w:rFonts w:eastAsiaTheme="minorEastAsia"/>
          <w:b/>
        </w:rPr>
        <w:t xml:space="preserve">round( </w:t>
      </w:r>
      <w:r w:rsidRPr="008D2345">
        <w:rPr>
          <w:b/>
        </w:rPr>
        <w:t xml:space="preserve">1 / </w:t>
      </w:r>
      <w:r w:rsidR="009F26B9" w:rsidRPr="008D2345">
        <w:rPr>
          <w:b/>
        </w:rPr>
        <w:t>Cap</w:t>
      </w:r>
      <w:r w:rsidR="008D2345">
        <w:rPr>
          <w:b/>
        </w:rPr>
        <w:t>Fac</w:t>
      </w:r>
      <w:r w:rsidR="00AB63F8">
        <w:rPr>
          <w:b/>
        </w:rPr>
        <w:t>, 7 )</w:t>
      </w:r>
    </w:p>
    <w:p w:rsidR="001D38E9" w:rsidRDefault="001D38E9" w:rsidP="003021A6">
      <w:pPr>
        <w:jc w:val="both"/>
        <w:rPr>
          <w:b/>
          <w:u w:val="single"/>
        </w:rPr>
      </w:pPr>
    </w:p>
    <w:p w:rsidR="00DF4F0B" w:rsidRPr="00DF4F0B" w:rsidRDefault="00DF4F0B" w:rsidP="003021A6">
      <w:pPr>
        <w:jc w:val="both"/>
        <w:rPr>
          <w:b/>
        </w:rPr>
      </w:pPr>
      <w:r w:rsidRPr="00DF4F0B">
        <w:rPr>
          <w:b/>
        </w:rPr>
        <w:t>Traded Price</w:t>
      </w:r>
    </w:p>
    <w:p w:rsidR="00DF4F0B" w:rsidRDefault="001F2AFC" w:rsidP="003021A6">
      <w:pPr>
        <w:jc w:val="both"/>
      </w:pPr>
      <w:r w:rsidRPr="0011692D">
        <w:t xml:space="preserve">The </w:t>
      </w:r>
      <w:r w:rsidR="0011692D" w:rsidRPr="0011692D">
        <w:t>futures traded price (TP) is the unit price sca</w:t>
      </w:r>
      <w:r w:rsidR="00AB63F8">
        <w:t>led by the discount factor and quoted to 2 decimal places.</w:t>
      </w:r>
    </w:p>
    <w:p w:rsidR="00DF4F0B" w:rsidRPr="008D2345" w:rsidRDefault="0011692D" w:rsidP="008D2345">
      <w:pPr>
        <w:jc w:val="center"/>
        <w:rPr>
          <w:b/>
        </w:rPr>
      </w:pPr>
      <w:r w:rsidRPr="008D2345">
        <w:rPr>
          <w:b/>
        </w:rPr>
        <w:t xml:space="preserve">TP = </w:t>
      </w:r>
      <w:r w:rsidR="00B22A44">
        <w:rPr>
          <w:b/>
        </w:rPr>
        <w:t xml:space="preserve">round( </w:t>
      </w:r>
      <w:r w:rsidRPr="008D2345">
        <w:rPr>
          <w:b/>
        </w:rPr>
        <w:t>100,000 * DF</w:t>
      </w:r>
      <w:r w:rsidR="00B22A44">
        <w:rPr>
          <w:b/>
        </w:rPr>
        <w:t>, 2 )</w:t>
      </w:r>
    </w:p>
    <w:p w:rsidR="001318FD" w:rsidRDefault="001318FD" w:rsidP="003021A6">
      <w:pPr>
        <w:jc w:val="both"/>
        <w:rPr>
          <w:b/>
        </w:rPr>
      </w:pPr>
    </w:p>
    <w:p w:rsidR="00960E68" w:rsidRPr="00DF4F0B" w:rsidRDefault="00960E68" w:rsidP="003021A6">
      <w:pPr>
        <w:jc w:val="both"/>
        <w:rPr>
          <w:b/>
        </w:rPr>
      </w:pPr>
      <w:r w:rsidRPr="00DF4F0B">
        <w:rPr>
          <w:b/>
        </w:rPr>
        <w:t>Futures Tickers</w:t>
      </w:r>
    </w:p>
    <w:p w:rsidR="003021A6" w:rsidRDefault="00281F99" w:rsidP="003021A6">
      <w:pPr>
        <w:jc w:val="both"/>
      </w:pPr>
      <w:r>
        <w:t>The f</w:t>
      </w:r>
      <w:r w:rsidR="003021A6">
        <w:t xml:space="preserve">utures instrument ticker comprises of </w:t>
      </w:r>
      <w:r>
        <w:t>product + month + year</w:t>
      </w:r>
      <w:r w:rsidR="003021A6">
        <w:t xml:space="preserve"> e.g. DI1 + F + 23 = DI1F23, indicating DI1 Futures for delivery Jan 2023. The futures month Codes are as follows,</w:t>
      </w:r>
    </w:p>
    <w:p w:rsidR="00A53006" w:rsidRPr="00960E68" w:rsidRDefault="00A53006" w:rsidP="003021A6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01"/>
        <w:gridCol w:w="719"/>
        <w:gridCol w:w="742"/>
        <w:gridCol w:w="716"/>
        <w:gridCol w:w="754"/>
        <w:gridCol w:w="677"/>
        <w:gridCol w:w="650"/>
        <w:gridCol w:w="694"/>
        <w:gridCol w:w="687"/>
        <w:gridCol w:w="681"/>
        <w:gridCol w:w="574"/>
        <w:gridCol w:w="559"/>
      </w:tblGrid>
      <w:tr w:rsidR="003021A6" w:rsidTr="003021A6">
        <w:tc>
          <w:tcPr>
            <w:tcW w:w="863" w:type="dxa"/>
          </w:tcPr>
          <w:p w:rsidR="003021A6" w:rsidRDefault="003021A6" w:rsidP="003021A6">
            <w:pPr>
              <w:jc w:val="both"/>
            </w:pPr>
            <w:r>
              <w:t>Month</w:t>
            </w:r>
          </w:p>
        </w:tc>
        <w:tc>
          <w:tcPr>
            <w:tcW w:w="703" w:type="dxa"/>
          </w:tcPr>
          <w:p w:rsidR="003021A6" w:rsidRDefault="003021A6" w:rsidP="003021A6">
            <w:pPr>
              <w:jc w:val="both"/>
            </w:pPr>
            <w:r>
              <w:t>Jan</w:t>
            </w:r>
          </w:p>
        </w:tc>
        <w:tc>
          <w:tcPr>
            <w:tcW w:w="721" w:type="dxa"/>
          </w:tcPr>
          <w:p w:rsidR="003021A6" w:rsidRDefault="003021A6" w:rsidP="003021A6">
            <w:pPr>
              <w:jc w:val="both"/>
            </w:pPr>
            <w:r>
              <w:t>Feb</w:t>
            </w:r>
          </w:p>
        </w:tc>
        <w:tc>
          <w:tcPr>
            <w:tcW w:w="743" w:type="dxa"/>
          </w:tcPr>
          <w:p w:rsidR="003021A6" w:rsidRDefault="003021A6" w:rsidP="003021A6">
            <w:pPr>
              <w:jc w:val="both"/>
            </w:pPr>
            <w:r>
              <w:t>Mar</w:t>
            </w:r>
          </w:p>
        </w:tc>
        <w:tc>
          <w:tcPr>
            <w:tcW w:w="718" w:type="dxa"/>
          </w:tcPr>
          <w:p w:rsidR="003021A6" w:rsidRDefault="003021A6" w:rsidP="003021A6">
            <w:pPr>
              <w:jc w:val="both"/>
            </w:pPr>
            <w:r>
              <w:t>Apr</w:t>
            </w:r>
          </w:p>
        </w:tc>
        <w:tc>
          <w:tcPr>
            <w:tcW w:w="755" w:type="dxa"/>
          </w:tcPr>
          <w:p w:rsidR="003021A6" w:rsidRDefault="003021A6" w:rsidP="003021A6">
            <w:pPr>
              <w:jc w:val="both"/>
            </w:pPr>
            <w:r>
              <w:t>May</w:t>
            </w:r>
          </w:p>
        </w:tc>
        <w:tc>
          <w:tcPr>
            <w:tcW w:w="678" w:type="dxa"/>
          </w:tcPr>
          <w:p w:rsidR="003021A6" w:rsidRDefault="003021A6" w:rsidP="003021A6">
            <w:pPr>
              <w:jc w:val="both"/>
            </w:pPr>
            <w:r>
              <w:t>Jun</w:t>
            </w:r>
          </w:p>
        </w:tc>
        <w:tc>
          <w:tcPr>
            <w:tcW w:w="652" w:type="dxa"/>
          </w:tcPr>
          <w:p w:rsidR="003021A6" w:rsidRDefault="003021A6" w:rsidP="003021A6">
            <w:pPr>
              <w:jc w:val="both"/>
            </w:pPr>
            <w:r>
              <w:t>Jul</w:t>
            </w:r>
          </w:p>
        </w:tc>
        <w:tc>
          <w:tcPr>
            <w:tcW w:w="695" w:type="dxa"/>
          </w:tcPr>
          <w:p w:rsidR="003021A6" w:rsidRDefault="003021A6" w:rsidP="003021A6">
            <w:pPr>
              <w:jc w:val="both"/>
            </w:pPr>
            <w:r>
              <w:t>Aug</w:t>
            </w:r>
          </w:p>
        </w:tc>
        <w:tc>
          <w:tcPr>
            <w:tcW w:w="688" w:type="dxa"/>
          </w:tcPr>
          <w:p w:rsidR="003021A6" w:rsidRDefault="003021A6" w:rsidP="003021A6">
            <w:pPr>
              <w:jc w:val="both"/>
            </w:pPr>
            <w:r>
              <w:t>Sep</w:t>
            </w:r>
          </w:p>
        </w:tc>
        <w:tc>
          <w:tcPr>
            <w:tcW w:w="682" w:type="dxa"/>
          </w:tcPr>
          <w:p w:rsidR="003021A6" w:rsidRDefault="003021A6" w:rsidP="003021A6">
            <w:pPr>
              <w:jc w:val="both"/>
            </w:pPr>
            <w:r>
              <w:t>Oct</w:t>
            </w:r>
          </w:p>
        </w:tc>
        <w:tc>
          <w:tcPr>
            <w:tcW w:w="559" w:type="dxa"/>
          </w:tcPr>
          <w:p w:rsidR="003021A6" w:rsidRDefault="003021A6" w:rsidP="003021A6">
            <w:pPr>
              <w:jc w:val="both"/>
            </w:pPr>
            <w:r>
              <w:t>Nov</w:t>
            </w:r>
          </w:p>
        </w:tc>
        <w:tc>
          <w:tcPr>
            <w:tcW w:w="559" w:type="dxa"/>
          </w:tcPr>
          <w:p w:rsidR="003021A6" w:rsidRDefault="003021A6" w:rsidP="003021A6">
            <w:pPr>
              <w:jc w:val="both"/>
            </w:pPr>
            <w:r>
              <w:t>Dec</w:t>
            </w:r>
          </w:p>
        </w:tc>
      </w:tr>
      <w:tr w:rsidR="003021A6" w:rsidTr="003021A6">
        <w:tc>
          <w:tcPr>
            <w:tcW w:w="863" w:type="dxa"/>
          </w:tcPr>
          <w:p w:rsidR="003021A6" w:rsidRDefault="003021A6" w:rsidP="003021A6">
            <w:pPr>
              <w:jc w:val="both"/>
            </w:pPr>
            <w:r>
              <w:t>Letter</w:t>
            </w:r>
          </w:p>
        </w:tc>
        <w:tc>
          <w:tcPr>
            <w:tcW w:w="703" w:type="dxa"/>
          </w:tcPr>
          <w:p w:rsidR="003021A6" w:rsidRDefault="003021A6" w:rsidP="003021A6">
            <w:pPr>
              <w:jc w:val="both"/>
            </w:pPr>
            <w:r>
              <w:t>F</w:t>
            </w:r>
          </w:p>
        </w:tc>
        <w:tc>
          <w:tcPr>
            <w:tcW w:w="721" w:type="dxa"/>
          </w:tcPr>
          <w:p w:rsidR="003021A6" w:rsidRDefault="003021A6" w:rsidP="003021A6">
            <w:pPr>
              <w:jc w:val="both"/>
            </w:pPr>
            <w:r>
              <w:t>G</w:t>
            </w:r>
          </w:p>
        </w:tc>
        <w:tc>
          <w:tcPr>
            <w:tcW w:w="743" w:type="dxa"/>
          </w:tcPr>
          <w:p w:rsidR="003021A6" w:rsidRDefault="003021A6" w:rsidP="003021A6">
            <w:pPr>
              <w:jc w:val="both"/>
            </w:pPr>
            <w:r>
              <w:t>H</w:t>
            </w:r>
          </w:p>
        </w:tc>
        <w:tc>
          <w:tcPr>
            <w:tcW w:w="718" w:type="dxa"/>
          </w:tcPr>
          <w:p w:rsidR="003021A6" w:rsidRDefault="003021A6" w:rsidP="003021A6">
            <w:pPr>
              <w:jc w:val="both"/>
            </w:pPr>
            <w:r>
              <w:t>J</w:t>
            </w:r>
          </w:p>
        </w:tc>
        <w:tc>
          <w:tcPr>
            <w:tcW w:w="755" w:type="dxa"/>
          </w:tcPr>
          <w:p w:rsidR="003021A6" w:rsidRDefault="003021A6" w:rsidP="003021A6">
            <w:pPr>
              <w:jc w:val="both"/>
            </w:pPr>
            <w:r>
              <w:t>K</w:t>
            </w:r>
          </w:p>
        </w:tc>
        <w:tc>
          <w:tcPr>
            <w:tcW w:w="678" w:type="dxa"/>
          </w:tcPr>
          <w:p w:rsidR="003021A6" w:rsidRDefault="003021A6" w:rsidP="003021A6">
            <w:pPr>
              <w:jc w:val="both"/>
            </w:pPr>
            <w:r>
              <w:t>M</w:t>
            </w:r>
          </w:p>
        </w:tc>
        <w:tc>
          <w:tcPr>
            <w:tcW w:w="652" w:type="dxa"/>
          </w:tcPr>
          <w:p w:rsidR="003021A6" w:rsidRDefault="003021A6" w:rsidP="003021A6">
            <w:pPr>
              <w:jc w:val="both"/>
            </w:pPr>
            <w:r>
              <w:t>N</w:t>
            </w:r>
          </w:p>
        </w:tc>
        <w:tc>
          <w:tcPr>
            <w:tcW w:w="695" w:type="dxa"/>
          </w:tcPr>
          <w:p w:rsidR="003021A6" w:rsidRDefault="003021A6" w:rsidP="003021A6">
            <w:pPr>
              <w:jc w:val="both"/>
            </w:pPr>
            <w:r>
              <w:t>Q</w:t>
            </w:r>
          </w:p>
        </w:tc>
        <w:tc>
          <w:tcPr>
            <w:tcW w:w="688" w:type="dxa"/>
          </w:tcPr>
          <w:p w:rsidR="003021A6" w:rsidRDefault="003021A6" w:rsidP="003021A6">
            <w:pPr>
              <w:jc w:val="both"/>
            </w:pPr>
            <w:r>
              <w:t>U</w:t>
            </w:r>
          </w:p>
        </w:tc>
        <w:tc>
          <w:tcPr>
            <w:tcW w:w="682" w:type="dxa"/>
          </w:tcPr>
          <w:p w:rsidR="003021A6" w:rsidRDefault="003021A6" w:rsidP="003021A6">
            <w:pPr>
              <w:jc w:val="both"/>
            </w:pPr>
            <w:r>
              <w:t>V</w:t>
            </w:r>
          </w:p>
        </w:tc>
        <w:tc>
          <w:tcPr>
            <w:tcW w:w="559" w:type="dxa"/>
          </w:tcPr>
          <w:p w:rsidR="003021A6" w:rsidRDefault="003021A6" w:rsidP="003021A6">
            <w:pPr>
              <w:jc w:val="both"/>
            </w:pPr>
            <w:r>
              <w:t>X</w:t>
            </w:r>
          </w:p>
        </w:tc>
        <w:tc>
          <w:tcPr>
            <w:tcW w:w="559" w:type="dxa"/>
          </w:tcPr>
          <w:p w:rsidR="003021A6" w:rsidRDefault="003021A6" w:rsidP="003021A6">
            <w:pPr>
              <w:jc w:val="both"/>
            </w:pPr>
            <w:r>
              <w:t>Z</w:t>
            </w:r>
          </w:p>
        </w:tc>
      </w:tr>
    </w:tbl>
    <w:p w:rsidR="003021A6" w:rsidRDefault="003021A6" w:rsidP="003021A6">
      <w:pPr>
        <w:jc w:val="both"/>
      </w:pPr>
    </w:p>
    <w:p w:rsidR="001318FD" w:rsidRDefault="001318FD" w:rsidP="001318FD">
      <w:pPr>
        <w:jc w:val="both"/>
        <w:rPr>
          <w:b/>
        </w:rPr>
      </w:pPr>
      <w:r>
        <w:rPr>
          <w:b/>
        </w:rPr>
        <w:t>Expiry Date</w:t>
      </w:r>
    </w:p>
    <w:p w:rsidR="001318FD" w:rsidRPr="007744B1" w:rsidRDefault="001318FD" w:rsidP="001318FD">
      <w:pPr>
        <w:jc w:val="both"/>
      </w:pPr>
      <w:r w:rsidRPr="007744B1">
        <w:t>The first business day of the contract month</w:t>
      </w:r>
      <w:r>
        <w:t>. For example, a DI1Z23 (December 2023) future would expire on the first business day of December 2023.</w:t>
      </w:r>
    </w:p>
    <w:p w:rsidR="001318FD" w:rsidRDefault="001318FD" w:rsidP="003021A6">
      <w:pPr>
        <w:jc w:val="both"/>
      </w:pPr>
    </w:p>
    <w:p w:rsidR="003021A6" w:rsidRPr="001D38E9" w:rsidRDefault="00281F99" w:rsidP="003021A6">
      <w:pPr>
        <w:jc w:val="both"/>
        <w:rPr>
          <w:b/>
          <w:u w:val="single"/>
        </w:rPr>
      </w:pPr>
      <w:r w:rsidRPr="001D38E9">
        <w:rPr>
          <w:b/>
          <w:u w:val="single"/>
        </w:rPr>
        <w:t>Example</w:t>
      </w:r>
    </w:p>
    <w:p w:rsidR="00281F99" w:rsidRDefault="0011692D" w:rsidP="003021A6">
      <w:pPr>
        <w:jc w:val="both"/>
      </w:pPr>
      <w:r>
        <w:t>A trader buys 1</w:t>
      </w:r>
      <w:r w:rsidR="00281F99">
        <w:t xml:space="preserve">00 DIF23 contracts </w:t>
      </w:r>
      <w:r w:rsidR="00AB63F8">
        <w:t xml:space="preserve">traded </w:t>
      </w:r>
      <w:r w:rsidR="00281F99">
        <w:t xml:space="preserve">at 10.00% DI rate. </w:t>
      </w:r>
      <w:r w:rsidR="00A53006">
        <w:t xml:space="preserve">The </w:t>
      </w:r>
      <w:r w:rsidR="00B252DE">
        <w:t xml:space="preserve">B3 exchange </w:t>
      </w:r>
      <w:r w:rsidR="00A53006">
        <w:t>(</w:t>
      </w:r>
      <w:r w:rsidR="00B252DE">
        <w:t xml:space="preserve">formerly BMF or BVMF </w:t>
      </w:r>
      <w:r w:rsidR="00A53006">
        <w:t>Bolsa de Valo</w:t>
      </w:r>
      <w:r w:rsidR="00B3288D">
        <w:t>res, Mercadorias e Futuros</w:t>
      </w:r>
      <w:r w:rsidR="00A53006">
        <w:t xml:space="preserve">) uses </w:t>
      </w:r>
      <w:r w:rsidR="00281F99">
        <w:t>cash settlement DI prices not rates</w:t>
      </w:r>
      <w:r w:rsidR="00A53006">
        <w:t>,</w:t>
      </w:r>
      <w:r w:rsidR="00281F99">
        <w:t xml:space="preserve"> so </w:t>
      </w:r>
      <w:r w:rsidR="00B252DE">
        <w:t>B3</w:t>
      </w:r>
      <w:r w:rsidR="00281F99">
        <w:t xml:space="preserve"> will convert the DI rate to a DI price </w:t>
      </w:r>
      <w:r w:rsidR="00661554">
        <w:t>rounded to 2 decimal places</w:t>
      </w:r>
      <w:r w:rsidR="00B3288D">
        <w:t xml:space="preserve">. </w:t>
      </w:r>
      <w:r w:rsidR="00AB63F8">
        <w:t xml:space="preserve">What </w:t>
      </w:r>
      <w:r w:rsidR="00B3288D">
        <w:t>is the traded price</w:t>
      </w:r>
      <w:r w:rsidR="00B252DE">
        <w:t>?</w:t>
      </w:r>
    </w:p>
    <w:p w:rsidR="001D38E9" w:rsidRDefault="001D38E9" w:rsidP="0011692D">
      <w:pPr>
        <w:jc w:val="both"/>
      </w:pPr>
    </w:p>
    <w:p w:rsidR="00AB63F8" w:rsidRPr="00AF3AAA" w:rsidRDefault="00AB63F8" w:rsidP="0011692D">
      <w:pPr>
        <w:jc w:val="both"/>
        <w:rPr>
          <w:b/>
        </w:rPr>
      </w:pPr>
      <w:r w:rsidRPr="00AF3AAA">
        <w:rPr>
          <w:b/>
        </w:rPr>
        <w:t>Expiry</w:t>
      </w:r>
    </w:p>
    <w:p w:rsidR="00AB63F8" w:rsidRDefault="00AB63F8" w:rsidP="00AF3AAA">
      <w:pPr>
        <w:jc w:val="center"/>
      </w:pPr>
      <w:r>
        <w:t>First business day of January 2023</w:t>
      </w:r>
      <w:r w:rsidR="00AF3AAA">
        <w:t xml:space="preserve"> (F23)</w:t>
      </w:r>
    </w:p>
    <w:p w:rsidR="00AB63F8" w:rsidRDefault="00AB63F8" w:rsidP="0011692D">
      <w:pPr>
        <w:jc w:val="both"/>
      </w:pPr>
    </w:p>
    <w:p w:rsidR="001F2AFC" w:rsidRDefault="00A53006" w:rsidP="0011692D">
      <w:pPr>
        <w:rPr>
          <w:b/>
        </w:rPr>
      </w:pPr>
      <w:r w:rsidRPr="00A53006">
        <w:rPr>
          <w:b/>
        </w:rPr>
        <w:t>Cap Factor</w:t>
      </w:r>
    </w:p>
    <w:p w:rsidR="001F2AFC" w:rsidRPr="00B0249D" w:rsidRDefault="00B0249D" w:rsidP="00B0249D">
      <m:oMathPara>
        <m:oMath>
          <m:r>
            <m:rPr>
              <m:sty m:val="p"/>
            </m:rPr>
            <w:rPr>
              <w:rFonts w:ascii="Cambria Math" w:hAnsi="Cambria Math"/>
            </w:rPr>
            <m:t>CapFac=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(1+10%)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=1.0</m:t>
          </m:r>
          <m:r>
            <m:rPr>
              <m:sty m:val="p"/>
            </m:rPr>
            <w:rPr>
              <w:rFonts w:ascii="Cambria Math" w:hAnsi="Cambria Math"/>
            </w:rPr>
            <m:t>583724</m:t>
          </m:r>
        </m:oMath>
      </m:oMathPara>
    </w:p>
    <w:p w:rsidR="008D2345" w:rsidRDefault="008D2345" w:rsidP="0011692D">
      <w:pPr>
        <w:spacing w:line="240" w:lineRule="auto"/>
        <w:rPr>
          <w:b/>
        </w:rPr>
      </w:pPr>
    </w:p>
    <w:p w:rsidR="001F2AFC" w:rsidRDefault="001F2AFC" w:rsidP="0011692D">
      <w:pPr>
        <w:spacing w:line="240" w:lineRule="auto"/>
        <w:rPr>
          <w:b/>
        </w:rPr>
      </w:pPr>
      <w:r>
        <w:rPr>
          <w:b/>
        </w:rPr>
        <w:lastRenderedPageBreak/>
        <w:t>Discount Factor</w:t>
      </w:r>
    </w:p>
    <w:p w:rsidR="001F2AFC" w:rsidRPr="00B0249D" w:rsidRDefault="00B0249D" w:rsidP="0011692D">
      <w:pPr>
        <w:spacing w:line="240" w:lineRule="auto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DF=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CapFac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9448470</m:t>
          </m:r>
        </m:oMath>
      </m:oMathPara>
    </w:p>
    <w:p w:rsidR="008D2345" w:rsidRDefault="008D2345" w:rsidP="0011692D">
      <w:pPr>
        <w:spacing w:line="240" w:lineRule="auto"/>
        <w:rPr>
          <w:b/>
        </w:rPr>
      </w:pPr>
    </w:p>
    <w:p w:rsidR="001D38E9" w:rsidRDefault="001D38E9" w:rsidP="0011692D">
      <w:pPr>
        <w:spacing w:line="240" w:lineRule="auto"/>
        <w:rPr>
          <w:b/>
        </w:rPr>
      </w:pPr>
      <w:r w:rsidRPr="00661554">
        <w:rPr>
          <w:b/>
        </w:rPr>
        <w:t>Traded Price</w:t>
      </w:r>
    </w:p>
    <w:p w:rsidR="00AF3AAA" w:rsidRPr="008D2345" w:rsidRDefault="00AF3AAA" w:rsidP="00AF3AAA">
      <w:pPr>
        <w:jc w:val="both"/>
      </w:pPr>
      <w:r w:rsidRPr="008D2345">
        <w:t xml:space="preserve">The </w:t>
      </w:r>
      <w:r>
        <w:t xml:space="preserve">initial </w:t>
      </w:r>
      <w:r w:rsidRPr="008D2345">
        <w:t>trading pric</w:t>
      </w:r>
      <w:r>
        <w:t>e is quoted using 100,000</w:t>
      </w:r>
      <w:r w:rsidRPr="008D2345">
        <w:t xml:space="preserve"> pricing units </w:t>
      </w:r>
      <w:r>
        <w:t>and capitalization factor specified determined by the</w:t>
      </w:r>
      <w:r w:rsidRPr="008D2345">
        <w:t xml:space="preserve"> traded interest rate i% with n days to expiry</w:t>
      </w:r>
      <w:r>
        <w:t>, where</w:t>
      </w:r>
      <w:r w:rsidRPr="008D2345">
        <w:t xml:space="preserve"> n as the number of days between the trade date and the day preceding expiry.</w:t>
      </w:r>
    </w:p>
    <w:p w:rsidR="00AF3AAA" w:rsidRPr="00B0249D" w:rsidRDefault="00DF4F0B" w:rsidP="00DF4F0B">
      <w:r w:rsidRPr="00B0249D">
        <w:t xml:space="preserve">The cap factor and discount factors are rounded to 7 decimal places so that our unit traded price is </w:t>
      </w:r>
      <w:r>
        <w:t>quotes</w:t>
      </w:r>
      <w:r w:rsidRPr="00B0249D">
        <w:t xml:space="preserve"> to 2 decimal places.</w:t>
      </w:r>
    </w:p>
    <w:p w:rsidR="00661554" w:rsidRDefault="001D38E9" w:rsidP="00DF4F0B">
      <w:pPr>
        <w:spacing w:line="240" w:lineRule="auto"/>
        <w:ind w:left="2160" w:firstLine="720"/>
      </w:pPr>
      <w:r>
        <w:t>TP =</w:t>
      </w:r>
      <w:r w:rsidR="00661554">
        <w:t xml:space="preserve"> </w:t>
      </w:r>
      <w:r w:rsidR="00B0249D">
        <w:t>100,000 * DF</w:t>
      </w:r>
      <w:r w:rsidR="001F2AFC">
        <w:t xml:space="preserve"> = </w:t>
      </w:r>
      <w:r w:rsidR="00B0249D">
        <w:t xml:space="preserve">BRL </w:t>
      </w:r>
      <w:r w:rsidR="00AF3AAA">
        <w:t>94,484.70</w:t>
      </w:r>
    </w:p>
    <w:p w:rsidR="008D2345" w:rsidRDefault="008D2345" w:rsidP="0011692D">
      <w:pPr>
        <w:rPr>
          <w:b/>
        </w:rPr>
      </w:pPr>
    </w:p>
    <w:p w:rsidR="0011692D" w:rsidRDefault="0011692D" w:rsidP="0011692D">
      <w:pPr>
        <w:rPr>
          <w:b/>
        </w:rPr>
      </w:pPr>
      <w:r w:rsidRPr="0011692D">
        <w:rPr>
          <w:b/>
        </w:rPr>
        <w:t>Futures Position</w:t>
      </w:r>
    </w:p>
    <w:p w:rsidR="008D2345" w:rsidRDefault="00B0249D" w:rsidP="008D2345">
      <w:pPr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FP</m:t>
          </m:r>
          <m:r>
            <m:rPr>
              <m:sty m:val="p"/>
              <m:aln/>
            </m:rPr>
            <w:rPr>
              <w:rFonts w:ascii="Cambria Math" w:hAnsi="Cambria Math"/>
            </w:rPr>
            <m:t>=Number of Contracts*TP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=100*</m:t>
          </m:r>
          <m:r>
            <m:rPr>
              <m:sty m:val="p"/>
            </m:rPr>
            <w:rPr>
              <w:rFonts w:ascii="Cambria Math" w:hAnsi="Cambria Math"/>
            </w:rPr>
            <m:t>94,484.70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=BRL 9,</m:t>
          </m:r>
          <m:r>
            <m:rPr>
              <m:sty m:val="p"/>
            </m:rPr>
            <w:rPr>
              <w:rFonts w:ascii="Cambria Math" w:eastAsiaTheme="minorEastAsia" w:hAnsi="Cambria Math"/>
            </w:rPr>
            <m:t>448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470</m:t>
          </m:r>
          <m:r>
            <m:rPr>
              <m:sty m:val="p"/>
            </m:rPr>
            <w:rPr>
              <w:rFonts w:ascii="Cambria Math" w:eastAsiaTheme="minorEastAsia" w:hAnsi="Cambria Math"/>
            </w:rPr>
            <m:t>.00</m:t>
          </m:r>
        </m:oMath>
      </m:oMathPara>
    </w:p>
    <w:p w:rsidR="00AF3AAA" w:rsidRDefault="00AF3AAA" w:rsidP="0011692D">
      <w:pPr>
        <w:rPr>
          <w:b/>
        </w:rPr>
      </w:pPr>
    </w:p>
    <w:p w:rsidR="003021A6" w:rsidRDefault="00661554" w:rsidP="0011692D">
      <w:pPr>
        <w:rPr>
          <w:b/>
        </w:rPr>
      </w:pPr>
      <w:r w:rsidRPr="00A53006">
        <w:rPr>
          <w:b/>
        </w:rPr>
        <w:t>Daily Profit &amp; Loss</w:t>
      </w:r>
    </w:p>
    <w:p w:rsidR="00DF4F0B" w:rsidRDefault="00B3288D" w:rsidP="00DF4F0B">
      <w:r>
        <w:t>Futures are cash settled on exchange with daily P&amp;L calculated as below,</w:t>
      </w:r>
    </w:p>
    <w:p w:rsidR="008D2345" w:rsidRPr="00B252DE" w:rsidRDefault="00A53006" w:rsidP="00B252DE">
      <w:pPr>
        <w:ind w:left="1440" w:firstLine="720"/>
      </w:pPr>
      <w:r w:rsidRPr="008D2345">
        <w:t xml:space="preserve">P&amp;L = </w:t>
      </w:r>
      <w:r w:rsidR="00B0249D" w:rsidRPr="008D2345">
        <w:t>Number of Contracts * (</w:t>
      </w:r>
      <w:r w:rsidRPr="008D2345">
        <w:t>Traded Price – Last Price</w:t>
      </w:r>
      <w:r w:rsidR="00B0249D" w:rsidRPr="008D2345">
        <w:t>)</w:t>
      </w:r>
    </w:p>
    <w:p w:rsidR="00862BCE" w:rsidRDefault="00862BCE" w:rsidP="00B3288D">
      <w:pPr>
        <w:jc w:val="center"/>
      </w:pPr>
    </w:p>
    <w:p w:rsidR="00B252DE" w:rsidRDefault="00B252DE" w:rsidP="00B3288D">
      <w:pPr>
        <w:jc w:val="center"/>
      </w:pPr>
    </w:p>
    <w:p w:rsidR="00862BCE" w:rsidRPr="00B252DE" w:rsidRDefault="00862BCE" w:rsidP="00B3288D">
      <w:pPr>
        <w:jc w:val="center"/>
        <w:rPr>
          <w:b/>
          <w:sz w:val="28"/>
          <w:szCs w:val="28"/>
        </w:rPr>
      </w:pPr>
      <w:r w:rsidRPr="00B252DE">
        <w:rPr>
          <w:b/>
          <w:sz w:val="28"/>
          <w:szCs w:val="28"/>
        </w:rPr>
        <w:t>References</w:t>
      </w:r>
    </w:p>
    <w:p w:rsidR="00B252DE" w:rsidRDefault="00B252DE" w:rsidP="00862BCE">
      <w:pPr>
        <w:rPr>
          <w:b/>
        </w:rPr>
      </w:pPr>
    </w:p>
    <w:p w:rsidR="00862BCE" w:rsidRPr="00B252DE" w:rsidRDefault="00B252DE" w:rsidP="00B252DE">
      <w:pPr>
        <w:spacing w:line="276" w:lineRule="auto"/>
        <w:rPr>
          <w:b/>
        </w:rPr>
      </w:pPr>
      <w:r w:rsidRPr="00B252DE">
        <w:rPr>
          <w:b/>
        </w:rPr>
        <w:t>DI1 Contract Specifications</w:t>
      </w:r>
      <w:r w:rsidRPr="00B252DE">
        <w:rPr>
          <w:b/>
        </w:rPr>
        <w:t xml:space="preserve"> </w:t>
      </w:r>
      <w:r w:rsidRPr="00B252DE">
        <w:rPr>
          <w:b/>
        </w:rPr>
        <w:br/>
      </w:r>
      <w:r w:rsidR="00862BCE" w:rsidRPr="00B252DE">
        <w:t>B3 Stoc</w:t>
      </w:r>
      <w:r w:rsidRPr="00B252DE">
        <w:t>k Exchange (formerly BMF Bovespa)</w:t>
      </w:r>
      <w:r w:rsidRPr="00B252DE">
        <w:br/>
      </w:r>
      <w:hyperlink r:id="rId7" w:history="1">
        <w:r w:rsidR="00862BCE" w:rsidRPr="00862BCE">
          <w:rPr>
            <w:rStyle w:val="Hyperlink"/>
            <w:color w:val="0000FF"/>
          </w:rPr>
          <w:t>https://www.b3.com.br/en_us/products-and-services/trading/interest-rates/one-day-interbank-deposit-futures.htm</w:t>
        </w:r>
      </w:hyperlink>
    </w:p>
    <w:p w:rsidR="00862BCE" w:rsidRPr="00B252DE" w:rsidRDefault="00862BCE" w:rsidP="00862BCE"/>
    <w:p w:rsidR="00862BCE" w:rsidRPr="00960E68" w:rsidRDefault="00B252DE" w:rsidP="001318FD">
      <w:pPr>
        <w:spacing w:line="276" w:lineRule="auto"/>
        <w:rPr>
          <w:color w:val="0000FF"/>
        </w:rPr>
      </w:pPr>
      <w:r w:rsidRPr="00B252DE">
        <w:rPr>
          <w:b/>
        </w:rPr>
        <w:t>DI1 Technical Specification</w:t>
      </w:r>
      <w:r w:rsidRPr="00B252DE">
        <w:rPr>
          <w:b/>
        </w:rPr>
        <w:t>s</w:t>
      </w:r>
      <w:r>
        <w:br/>
      </w:r>
      <w:r w:rsidRPr="00B252DE">
        <w:t xml:space="preserve">B3 Stock Exchange (formerly BMF Bovespa) </w:t>
      </w:r>
      <w:r w:rsidRPr="00B252DE">
        <w:br/>
      </w:r>
      <w:hyperlink r:id="rId8" w:history="1">
        <w:r w:rsidR="00862BCE" w:rsidRPr="00862BCE">
          <w:rPr>
            <w:rStyle w:val="Hyperlink"/>
            <w:color w:val="0000FF"/>
          </w:rPr>
          <w:t>http://www.bmf.com.br/bmfbovespa/pages/contratos2/pdf/IDfutures.pdf</w:t>
        </w:r>
      </w:hyperlink>
    </w:p>
    <w:p w:rsidR="00862BCE" w:rsidRPr="00B22A44" w:rsidRDefault="00862BCE" w:rsidP="00B3288D">
      <w:pPr>
        <w:jc w:val="center"/>
        <w:rPr>
          <w:color w:val="FF0000"/>
        </w:rPr>
      </w:pPr>
    </w:p>
    <w:sectPr w:rsidR="00862BCE" w:rsidRPr="00B22A4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0E" w:rsidRDefault="00A04F0E" w:rsidP="0021526C">
      <w:pPr>
        <w:spacing w:after="0" w:line="240" w:lineRule="auto"/>
      </w:pPr>
      <w:r>
        <w:separator/>
      </w:r>
    </w:p>
  </w:endnote>
  <w:endnote w:type="continuationSeparator" w:id="0">
    <w:p w:rsidR="00A04F0E" w:rsidRDefault="00A04F0E" w:rsidP="0021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26C" w:rsidRDefault="0021526C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7544b07b04bd147725157bf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1526C" w:rsidRPr="0021526C" w:rsidRDefault="0021526C" w:rsidP="0021526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1526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7544b07b04bd147725157bf" o:spid="_x0000_s1026" type="#_x0000_t202" alt="{&quot;HashCode&quot;:-1576061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IgBwyYWAwAANQYAAA4AAAAAAAAAAAAAAAAA&#10;LgIAAGRycy9lMm9Eb2MueG1sUEsBAi0AFAAGAAgAAAAhAJ/VQez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21526C" w:rsidRPr="0021526C" w:rsidRDefault="0021526C" w:rsidP="0021526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1526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0E" w:rsidRDefault="00A04F0E" w:rsidP="0021526C">
      <w:pPr>
        <w:spacing w:after="0" w:line="240" w:lineRule="auto"/>
      </w:pPr>
      <w:r>
        <w:separator/>
      </w:r>
    </w:p>
  </w:footnote>
  <w:footnote w:type="continuationSeparator" w:id="0">
    <w:p w:rsidR="00A04F0E" w:rsidRDefault="00A04F0E" w:rsidP="0021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57ADD"/>
    <w:multiLevelType w:val="hybridMultilevel"/>
    <w:tmpl w:val="B8529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A6"/>
    <w:rsid w:val="0011692D"/>
    <w:rsid w:val="001318FD"/>
    <w:rsid w:val="001D38E9"/>
    <w:rsid w:val="001F2AFC"/>
    <w:rsid w:val="0021526C"/>
    <w:rsid w:val="00281F99"/>
    <w:rsid w:val="002B0646"/>
    <w:rsid w:val="002F037D"/>
    <w:rsid w:val="003021A6"/>
    <w:rsid w:val="00313D68"/>
    <w:rsid w:val="00487A3A"/>
    <w:rsid w:val="004D14DF"/>
    <w:rsid w:val="005F577D"/>
    <w:rsid w:val="00661554"/>
    <w:rsid w:val="007729F4"/>
    <w:rsid w:val="007744B1"/>
    <w:rsid w:val="007B1ABC"/>
    <w:rsid w:val="00862BCE"/>
    <w:rsid w:val="008D2345"/>
    <w:rsid w:val="00960E68"/>
    <w:rsid w:val="009A4E2F"/>
    <w:rsid w:val="009F26B9"/>
    <w:rsid w:val="00A04F0E"/>
    <w:rsid w:val="00A53006"/>
    <w:rsid w:val="00AB63F8"/>
    <w:rsid w:val="00AF3AAA"/>
    <w:rsid w:val="00B0249D"/>
    <w:rsid w:val="00B22A44"/>
    <w:rsid w:val="00B252DE"/>
    <w:rsid w:val="00B3288D"/>
    <w:rsid w:val="00BC6B96"/>
    <w:rsid w:val="00C228CA"/>
    <w:rsid w:val="00CD73B9"/>
    <w:rsid w:val="00D20AB8"/>
    <w:rsid w:val="00DF4F0B"/>
    <w:rsid w:val="00F2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3E67"/>
  <w15:chartTrackingRefBased/>
  <w15:docId w15:val="{984BCB9C-C9F5-48DB-B771-3DEFD54A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0E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F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8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5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6C"/>
  </w:style>
  <w:style w:type="paragraph" w:styleId="Footer">
    <w:name w:val="footer"/>
    <w:basedOn w:val="Normal"/>
    <w:link w:val="FooterChar"/>
    <w:uiPriority w:val="99"/>
    <w:unhideWhenUsed/>
    <w:rsid w:val="00215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f.com.br/bmfbovespa/pages/contratos2/pdf/IDfutur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3.com.br/en_us/products-and-services/trading/interest-rates/one-day-interbank-deposit-futur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BURGESS</dc:creator>
  <cp:keywords/>
  <dc:description/>
  <cp:lastModifiedBy>Nicholas BURGESS</cp:lastModifiedBy>
  <cp:revision>14</cp:revision>
  <dcterms:created xsi:type="dcterms:W3CDTF">2022-03-23T15:44:00Z</dcterms:created>
  <dcterms:modified xsi:type="dcterms:W3CDTF">2022-03-24T13:54:00Z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2022-03-24T13:54:07Z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321cfd4c-54dc-4962-89dc-f7e0b564bc96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</Properties>
</file>