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AD" w:rsidRDefault="001502AD" w:rsidP="001502AD">
      <w:pPr>
        <w:shd w:val="clear" w:color="auto" w:fill="FFFFFF"/>
        <w:spacing w:before="100" w:beforeAutospacing="1" w:after="100" w:afterAutospacing="1" w:line="372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Calendário de vacinação ocupacional</w:t>
      </w:r>
    </w:p>
    <w:p w:rsidR="001502AD" w:rsidRPr="001502AD" w:rsidRDefault="001502AD" w:rsidP="001502AD">
      <w:pPr>
        <w:shd w:val="clear" w:color="auto" w:fill="FFFFFF"/>
        <w:spacing w:before="100" w:beforeAutospacing="1" w:after="100" w:afterAutospacing="1" w:line="372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1502A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Recomendações da Associação Brasileira de Imunizações (</w:t>
      </w:r>
      <w:proofErr w:type="spellStart"/>
      <w:r w:rsidRPr="001502A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Sbim</w:t>
      </w:r>
      <w:proofErr w:type="spellEnd"/>
      <w:r w:rsidRPr="001502A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 – 201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2/2013</w:t>
      </w:r>
    </w:p>
    <w:tbl>
      <w:tblPr>
        <w:tblW w:w="0" w:type="auto"/>
        <w:tblBorders>
          <w:top w:val="single" w:sz="2" w:space="0" w:color="000000"/>
          <w:left w:val="single" w:sz="4" w:space="0" w:color="000000"/>
          <w:bottom w:val="single" w:sz="4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319"/>
        <w:gridCol w:w="959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1502AD" w:rsidRPr="001502AD" w:rsidTr="001502AD">
        <w:tc>
          <w:tcPr>
            <w:tcW w:w="500" w:type="pct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divId w:val="1011446568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VACINAS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ESPECIALMENTE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INDICADAS</w:t>
            </w:r>
          </w:p>
        </w:tc>
        <w:tc>
          <w:tcPr>
            <w:tcW w:w="2000" w:type="pct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ESQUEMAS</w:t>
            </w:r>
          </w:p>
        </w:tc>
        <w:tc>
          <w:tcPr>
            <w:tcW w:w="1500" w:type="pct"/>
            <w:gridSpan w:val="1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PROFISSIONAIS POR ÁREA DE ATUAÇÃO </w:t>
            </w:r>
          </w:p>
        </w:tc>
      </w:tr>
      <w:tr w:rsidR="001502AD" w:rsidRPr="001502AD" w:rsidTr="001502AD"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1" name="Imagem 1" descr="http://www.calendariodevacinas.com.br/wp-content/uploads/2009/06/v-sau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alendariodevacinas.com.br/wp-content/uploads/2009/06/v-sau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2" name="Imagem 2" descr="http://www.calendariodevacinas.com.br/wp-content/uploads/2009/06/v-aliment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alendariodevacinas.com.br/wp-content/uploads/2009/06/v-aliment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3" name="Imagem 3" descr="http://www.calendariodevacinas.com.br/wp-content/uploads/2009/06/v-militar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alendariodevacinas.com.br/wp-content/uploads/2009/06/v-militar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4" name="Imagem 4" descr="http://www.calendariodevacinas.com.br/wp-content/uploads/2009/06/v-dejet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alendariodevacinas.com.br/wp-content/uploads/2009/06/v-dejet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5" name="Imagem 5" descr="http://www.calendariodevacinas.com.br/wp-content/uploads/2009/06/v-crianc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alendariodevacinas.com.br/wp-content/uploads/2009/06/v-crianca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6" name="Imagem 6" descr="http://www.calendariodevacinas.com.br/wp-content/uploads/2009/06/v-anima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calendariodevacinas.com.br/wp-content/uploads/2009/06/v-animai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7" name="Imagem 7" descr="http://www.calendariodevacinas.com.br/wp-content/uploads/2009/06/v-sex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alendariodevacinas.com.br/wp-content/uploads/2009/06/v-sex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8" name="Imagem 8" descr="http://www.calendariodevacinas.com.br/wp-content/uploads/2009/06/v-administrativ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calendariodevacinas.com.br/wp-content/uploads/2009/06/v-administrativ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9" name="Imagem 9" descr="http://www.calendariodevacinas.com.br/wp-content/uploads/2009/06/v-aviac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alendariodevacinas.com.br/wp-content/uploads/2009/06/v-aviac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10" name="Imagem 10" descr="http://www.calendariodevacinas.com.br/wp-content/uploads/2009/06/v-viaja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alendariodevacinas.com.br/wp-content/uploads/2009/06/v-viaja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11" name="Imagem 11" descr="http://www.calendariodevacinas.com.br/wp-content/uploads/2009/06/v-manic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alendariodevacinas.com.br/wp-content/uploads/2009/06/v-manic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4"/>
                <w:szCs w:val="14"/>
                <w:lang w:eastAsia="pt-BR"/>
              </w:rPr>
              <w:drawing>
                <wp:inline distT="0" distB="0" distL="0" distR="0">
                  <wp:extent cx="286385" cy="1431290"/>
                  <wp:effectExtent l="19050" t="0" r="0" b="0"/>
                  <wp:docPr id="12" name="Imagem 12" descr="http://www.calendariodevacinas.com.br/wp-content/uploads/2009/06/v-coletor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calendariodevacinas.com.br/wp-content/uploads/2009/06/v-coletor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Tríplice Viral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proofErr w:type="gramStart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(</w:t>
            </w:r>
            <w:proofErr w:type="gramEnd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sarampo,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caxumba e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rubéola)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Dose única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  <w:tr w:rsidR="001502AD" w:rsidRPr="001502AD" w:rsidTr="001502AD"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Hepatites A,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B ou A e </w:t>
            </w:r>
            <w:proofErr w:type="gramStart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B</w:t>
            </w:r>
            <w:proofErr w:type="gramEnd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Hepatite A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 xml:space="preserve">Duas doses: </w:t>
            </w: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A</w:t>
            </w:r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segunda seis meses após a primeira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  <w:tr w:rsidR="001502AD" w:rsidRPr="001502AD" w:rsidTr="001502AD"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Hepatite B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 xml:space="preserve">Três doses: </w:t>
            </w: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a</w:t>
            </w:r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segunda um mês depois da primeira e a terceira cinco meses depois da segunda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  <w:tr w:rsidR="001502AD" w:rsidRPr="001502AD" w:rsidTr="001502AD"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Hepatites A+B 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 xml:space="preserve">Três doses: </w:t>
            </w: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a</w:t>
            </w:r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segunda um mês depois da primeira e a terceira cinco meses depois da segunda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HPV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Para mulheres na prevenção da infecção pelo papiloma vírus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 xml:space="preserve">humano: até 26 anos em 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lastRenderedPageBreak/>
              <w:t>três doses, no esquema 0-2-6 meses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>com a vacina do laboratório MSD ou até 25 anos em três doses, no esquema 0-1-6 meses com a vacina do laboratório GSK.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</w:tr>
      <w:tr w:rsidR="001502AD" w:rsidRPr="001502AD" w:rsidTr="001502AD"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lastRenderedPageBreak/>
              <w:t>Vacinas contra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difteria,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tétano e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proofErr w:type="gramStart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coqueluche</w:t>
            </w:r>
            <w:proofErr w:type="gramEnd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i/>
                <w:iCs/>
                <w:color w:val="000000"/>
                <w:sz w:val="14"/>
                <w:lang w:eastAsia="pt-BR"/>
              </w:rPr>
              <w:t xml:space="preserve">Com esquema de vacinação básica completo 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 xml:space="preserve">Reforço com </w:t>
            </w: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dTpa</w:t>
            </w:r>
            <w:proofErr w:type="spellEnd"/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(tríplice bacteriana acelular do tipo adulto) e após, uma dose de </w:t>
            </w:r>
            <w:proofErr w:type="spell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(vacina dupla bacteriana do tipo adulto) a cada dez anos.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dTpa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dTpa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proofErr w:type="gramEnd"/>
          </w:p>
        </w:tc>
      </w:tr>
      <w:tr w:rsidR="001502AD" w:rsidRPr="001502AD" w:rsidTr="001502AD"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i/>
                <w:iCs/>
                <w:color w:val="000000"/>
                <w:sz w:val="14"/>
                <w:lang w:eastAsia="pt-BR"/>
              </w:rPr>
              <w:t>Com esquema de vacinação básica incompleto</w:t>
            </w: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br/>
              <w:t xml:space="preserve">Uma dose de </w:t>
            </w:r>
            <w:proofErr w:type="spellStart"/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dTpa</w:t>
            </w:r>
            <w:proofErr w:type="spellEnd"/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(tríplice bacteriana acelular do tipo adulto) e uma ou duas doses de </w:t>
            </w:r>
            <w:proofErr w:type="spell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dT</w:t>
            </w:r>
            <w:proofErr w:type="spell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(vacina dupla bacteriana do tipo adulto).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1502AD" w:rsidRPr="001502AD" w:rsidRDefault="001502AD" w:rsidP="001502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Varicela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proofErr w:type="gramStart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(</w:t>
            </w:r>
            <w:proofErr w:type="gramEnd"/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catapora)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A partir dos 13 anos de idade: duas doses com intervalo de </w:t>
            </w: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</w:t>
            </w:r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meses.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Influenza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Dose única anual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Antimeningocócic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lastRenderedPageBreak/>
              <w:t>a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C conjugada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lastRenderedPageBreak/>
              <w:t>Dose única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lastRenderedPageBreak/>
              <w:t xml:space="preserve">Febre amarela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Uma dose de dez em dez anos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FFFDE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Raiva (vacina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obtida em</w:t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  <w:br/>
            </w: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 xml:space="preserve">cultura de células)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Três doses: </w:t>
            </w: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a</w:t>
            </w:r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segunda sete dias depois da primeira e a terceira 14 a 21 dias após a segunda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  <w:r w:rsidRPr="001502AD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(5)</w:t>
            </w:r>
          </w:p>
        </w:tc>
      </w:tr>
      <w:tr w:rsidR="001502AD" w:rsidRPr="001502AD" w:rsidTr="001502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BR"/>
              </w:rPr>
              <w:t>Febre tifoide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Dose única da vacina </w:t>
            </w:r>
            <w:proofErr w:type="spell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polissacarídica</w:t>
            </w:r>
            <w:proofErr w:type="spellEnd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capsular Vi, por via intramuscular ou subcutânea, para adultos e crianças a partir de dois anos de idade.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1502AD" w:rsidRPr="001502AD" w:rsidRDefault="001502AD" w:rsidP="001502AD">
            <w:pPr>
              <w:spacing w:after="0" w:line="372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1502AD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sim</w:t>
            </w:r>
            <w:proofErr w:type="gramEnd"/>
          </w:p>
        </w:tc>
      </w:tr>
    </w:tbl>
    <w:p w:rsidR="001502AD" w:rsidRPr="001502AD" w:rsidRDefault="001502AD" w:rsidP="001502AD">
      <w:pPr>
        <w:shd w:val="clear" w:color="auto" w:fill="FFFFFF"/>
        <w:spacing w:before="100" w:beforeAutospacing="1" w:after="100" w:afterAutospacing="1" w:line="372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1502AD">
        <w:rPr>
          <w:rFonts w:ascii="Arial" w:eastAsia="Times New Roman" w:hAnsi="Arial" w:cs="Arial"/>
          <w:i/>
          <w:iCs/>
          <w:color w:val="000000"/>
          <w:sz w:val="15"/>
          <w:lang w:eastAsia="pt-BR"/>
        </w:rPr>
        <w:t xml:space="preserve">Fonte: SOCIEDADE BRASILEIRA DE IMUNIZAÇÕES – SBIM </w:t>
      </w:r>
    </w:p>
    <w:p w:rsidR="009A6A01" w:rsidRDefault="001502AD" w:rsidP="001502AD">
      <w:r w:rsidRPr="001502AD">
        <w:rPr>
          <w:rFonts w:ascii="Arial" w:eastAsia="Times New Roman" w:hAnsi="Arial" w:cs="Arial"/>
          <w:color w:val="000000"/>
          <w:sz w:val="15"/>
          <w:szCs w:val="15"/>
          <w:lang w:eastAsia="pt-BR"/>
        </w:rPr>
        <w:br/>
      </w:r>
      <w:r w:rsidRPr="001502AD">
        <w:rPr>
          <w:rFonts w:ascii="Arial" w:eastAsia="Times New Roman" w:hAnsi="Arial" w:cs="Arial"/>
          <w:color w:val="000000"/>
          <w:sz w:val="15"/>
          <w:szCs w:val="15"/>
          <w:lang w:eastAsia="pt-BR"/>
        </w:rPr>
        <w:br/>
      </w:r>
    </w:p>
    <w:sectPr w:rsidR="009A6A01" w:rsidSect="009A6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02AD"/>
    <w:rsid w:val="001502AD"/>
    <w:rsid w:val="009A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01"/>
  </w:style>
  <w:style w:type="paragraph" w:styleId="Ttulo2">
    <w:name w:val="heading 2"/>
    <w:basedOn w:val="Normal"/>
    <w:link w:val="Ttulo2Char"/>
    <w:uiPriority w:val="9"/>
    <w:qFormat/>
    <w:rsid w:val="00150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02AD"/>
    <w:rPr>
      <w:rFonts w:ascii="Times New Roman" w:eastAsia="Times New Roman" w:hAnsi="Times New Roman" w:cs="Times New Roman"/>
      <w:b/>
      <w:bCs/>
      <w:sz w:val="23"/>
      <w:szCs w:val="23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02AD"/>
    <w:rPr>
      <w:strike w:val="0"/>
      <w:dstrike w:val="0"/>
      <w:color w:val="991C1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5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02AD"/>
    <w:rPr>
      <w:b/>
      <w:bCs/>
    </w:rPr>
  </w:style>
  <w:style w:type="character" w:styleId="nfase">
    <w:name w:val="Emphasis"/>
    <w:basedOn w:val="Fontepargpadro"/>
    <w:uiPriority w:val="20"/>
    <w:qFormat/>
    <w:rsid w:val="001502A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2013-02-25T19:00:00Z</dcterms:created>
  <dcterms:modified xsi:type="dcterms:W3CDTF">2013-02-25T19:01:00Z</dcterms:modified>
</cp:coreProperties>
</file>