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Transferências intergovernamentais, ilusão fiscal e efeito flypaper: revisão teórica e análise exploratória das finanças municipais no Pará e do contexto macrofiscal da Nigéria</w:t>
      </w:r>
    </w:p>
    <w:p>
      <w:pPr>
        <w:pStyle w:val="Author"/>
      </w:pPr>
      <w:r>
        <w:t xml:space="preserve">Alessandro Takeda Boarato Meneguin</w:t>
      </w:r>
    </w:p>
    <w:p>
      <w:pPr>
        <w:pStyle w:val="Date"/>
      </w:pPr>
      <w:r>
        <w:t xml:space="preserve">2026</w:t>
      </w:r>
    </w:p>
    <w:bookmarkStart w:id="43" w:name="Xfd607517f98ff1f261225a74a06abd292e05c37"/>
    <w:p>
      <w:pPr>
        <w:pStyle w:val="Heading1"/>
      </w:pPr>
      <w:r>
        <w:t>Transferências intergovernamentais, ilusão fiscal e efeito flypaper: revisão teórica e análise exploratória das finanças municipais no Pará e do contexto macrofiscal da Nigéria</w:t>
      </w:r>
    </w:p>
    <w:p>
      <w:pPr>
        <w:pStyle w:val="FirstParagraph"/>
      </w:pPr>
      <w:r>
        <w:t>Autor: Alessandro Takeda Boarato Meneguin</w:t>
        <w:br/>
        <w:t>Matrícula: 242026481</w:t>
        <w:br/>
        <w:t>Disciplina: Finanças do Setor Público — P2</w:t>
        <w:br/>
        <w:t>País de contexto: Nigéria</w:t>
        <w:br/>
        <w:t>Municípios: Castanhal/PA (IBGE 1502400) e Abaetetuba/PA (IBGE 1500107)</w:t>
      </w:r>
    </w:p>
    <w:p>
      <w:pPr>
        <w:pStyle w:val="BlockText"/>
      </w:pPr>
      <w:r>
        <w:t>Nota de transparência: a revisão teórica e a análise bibliométrica utilizam o mesmo corpus de 80 registros exportados da Scopus. Os estudos são discutidos de forma integrada por eixos temáticos ao longo do referencial teórico; não são apresentados como uma sequência de comentários individuais. A exportação contém 79 documentos classificados como Article e 1 como Review, conforme os metadados preservados.</w:t>
      </w:r>
    </w:p>
    <w:bookmarkStart w:id="20" w:name="resumo"/>
    <w:p>
      <w:pPr>
        <w:pStyle w:val="Heading2"/>
      </w:pPr>
      <w:r>
        <w:t xml:space="preserve">Resumo</w:t>
      </w:r>
    </w:p>
    <w:p>
      <w:pPr>
        <w:pStyle w:val="FirstParagraph"/>
      </w:pPr>
      <w:r>
        <w:t>A revisão e a bibliometria utilizam o mesmo corpus de 80 registros distintos exportados da Scopus. Na classificação da exportação, 79 registros são do tipo Article e 1 é do tipo Review. A matriz distingue metadados exportados, verificação independente e estado de leitura integral; o alinhamento dos corpora não significa que todos os textos tenham sido lidos integralmente.</w:t>
      </w:r>
    </w:p>
    <w:p>
      <w:pPr>
        <w:pStyle w:val="BodyText"/>
      </w:pPr>
      <w:r>
        <w:rPr>
          <w:b/>
          <w:bCs/>
        </w:rPr>
        <w:t xml:space="preserve">Palavras-chave:</w:t>
      </w:r>
      <w:r>
        <w:t xml:space="preserve"> </w:t>
      </w:r>
      <w:r>
        <w:t xml:space="preserve">finanças públicas; federalismo fiscal; despesa municipal; transferências intergovernamentais; Nigéria; Pará.</w:t>
      </w:r>
    </w:p>
    <w:bookmarkEnd w:id="20"/>
    <w:bookmarkStart w:id="21" w:name="introdução"/>
    <w:p>
      <w:pPr>
        <w:pStyle w:val="Heading2"/>
      </w:pPr>
      <w:r>
        <w:t xml:space="preserve">1. Introdução</w:t>
      </w:r>
    </w:p>
    <w:p>
      <w:pPr>
        <w:pStyle w:val="FirstParagraph"/>
      </w:pPr>
      <w:r>
        <w:t xml:space="preserve">A avaliação das finanças públicas exige distinguir a capacidade de arrecadação, a dependência de transferências, a composição da receita e os diferentes estágios da despesa orçamentária. Valores nominais crescentes não significam, por si sós, aumento da oferta real de serviços: podem refletir inflação, mudanças populacionais, alterações de classificação contábil ou revisões das declarações. Essa distinção é particularmente importante em comparações ao longo de uma década.</w:t>
      </w:r>
    </w:p>
    <w:p>
      <w:pPr>
        <w:pStyle w:val="BodyText"/>
      </w:pPr>
      <w:r>
        <w:t xml:space="preserve">No Brasil, o Sistema de Informações Contábeis e Fiscais do Setor Público Brasileiro (SICONFI), mantido pela Secretaria do Tesouro Nacional (STN), disponibiliza demonstrativos como a Declaração de Contas Anuais (DCA), o Relatório Resumido da Execução Orçamentária (RREO) e o Relatório de Gestão Fiscal (RGF). A API oficial disponibiliza dados em JSON e permite consultas automatizadas, respeitado o limite operacional de requisições documentado pelo Tesouro. A existência de uma API, entretanto, não substitui a necessidade de identificar a rubrica, a coluna e o estágio orçamentário corretos.</w:t>
      </w:r>
    </w:p>
    <w:p>
      <w:pPr>
        <w:pStyle w:val="BodyText"/>
      </w:pPr>
      <w:r>
        <w:t xml:space="preserve">Este trabalho toma Castanhal e Abaetetuba como casos municipais e utiliza a Nigéria como contexto macrofiscal internacional. A escolha exige cautela: municípios brasileiros e governo geral de um país são unidades institucionais de escala, competência e composição diferentes. Logo, não se constrói ranking direto entre eles; o contexto nigeriano é usado para discutir dependência de receitas, federalismo e limites da comparação internacional.</w:t>
      </w:r>
    </w:p>
    <w:p>
      <w:pPr>
        <w:pStyle w:val="BodyText"/>
      </w:pPr>
      <w:r>
        <w:t>A pergunta orientadora é: como a literatura explica a relação entre transferências intergovernamentais, ilusão fiscal e efeito flypaper, e quais são os limites de uma leitura exploratória das finanças de Castanhal e Abaetetuba no contexto macrofiscal da Nigéria? O objetivo geral é organizar criticamente a literatura e demonstrar as cautelas necessárias para analisar dados fiscais municipais e comparações institucionais. Os objetivos específicos são: (i) sintetizar mecanismos teóricos do efeito flypaper e da ilusão fiscal; (ii) organizar 80 registros candidatos em matriz rastreável, distinguindo metadados confirmados de pendentes; (iii) descrever, sem inferência causal, a série municipal preliminar; e (iv) explicitar as verificações necessárias para concluir a análise bibliométrica e a validação fiscal.</w:t>
      </w:r>
    </w:p>
    <w:p>
      <w:pPr>
        <w:pStyle w:val="BodyText"/>
      </w:pPr>
      <w:r>
        <w:t xml:space="preserve">A contribuição é metodológica e descritiva: enfatiza transparência sobre origem, qualidade e limitações dos dados, em vez de apresentar como definitivos números ainda não reconciliados com as declarações oficiais.</w:t>
      </w:r>
    </w:p>
    <w:bookmarkEnd w:id="21"/>
    <w:bookmarkStart w:id="26" w:name="referencial-teórico"/>
    <w:p>
      <w:pPr>
        <w:pStyle w:val="Heading2"/>
      </w:pPr>
      <w:r>
        <w:t xml:space="preserve">2. Referencial teórico</w:t>
      </w:r>
    </w:p>
    <w:bookmarkStart w:id="22" w:name="federalismo-fiscal-e-transferências"/>
    <w:p>
      <w:pPr>
        <w:pStyle w:val="Heading3"/>
      </w:pPr>
      <w:r>
        <w:t xml:space="preserve">2.1 Federalismo fiscal e transferências</w:t>
      </w:r>
    </w:p>
    <w:p>
      <w:pPr>
        <w:pStyle w:val="Heading3"/>
      </w:pPr>
      <w:r>
        <w:t>Descentralização, instituições e repartição de recursos. Em conjunto, esses trabalhos mostram a amplitude das perguntas investigadas — desde regras de repartição e incentivos políticos até composição dos repasses, esforço tributário, gasto setorial e percepção do custo fiscal. A comparação entre estudos precisa considerar seus desenhos, unidades de análise e instituições; por isso, as referências são mobilizadas aqui como linhas de evidência e debate, não como resultados automaticamente transferíveis aos municípios paraenses. Bahl e Johannes (1994); Dell’Anno e Dollery (2014); van de Walle e Mu (2007); Volden (2007); Melo (2002); Mogues e Benin (2012); Turnbull (1992); Bracco et al. (2015); Allers e Vermeulen (2016); Neto e Simonassi (2013); Rodden (2002).</w:t>
      </w:r>
    </w:p>
    <w:p>
      <w:pPr>
        <w:pStyle w:val="FirstParagraph"/>
      </w:pPr>
      <w:r>
        <w:t xml:space="preserve">A teoria do federalismo fiscal discute a distribuição de competências tributárias e responsabilidades de gasto entre níveis de governo. A descentralização pode aproximar a oferta de serviços das preferências locais, mas seus resultados dependem da correspondência entre atribuições de despesa, capacidade de arrecadação, transferências e mecanismos de responsabilização. Oates (1972) formula uma referência central para a discussão sobre descentralização; trabalhos posteriores examinam como regras de transferências e incentivos institucionais afetam o comportamento fiscal.</w:t>
      </w:r>
    </w:p>
    <w:p>
      <w:pPr>
        <w:pStyle w:val="BodyText"/>
      </w:pPr>
      <w:r>
        <w:t xml:space="preserve">Transferências intergovernamentais podem reduzir desigualdades horizontais de capacidade fiscal e financiar serviços públicos. Porém, quando um governo local depende de recursos externos, a percepção do custo dos serviços pelos contribuintes e os incentivos para arrecadação própria podem diferir daqueles presentes quando o gasto é financiado diretamente por tributos locais. Isso não implica que toda dependência de transferências seja ineficiente: a avaliação depende da finalidade, da fórmula de distribuição, das necessidades locais e da capacidade fiscal.</w:t>
      </w:r>
    </w:p>
    <w:bookmarkEnd w:id="22"/>
    <w:bookmarkStart w:id="23" w:name="efeito-flypaper-e-ilusão-fiscal"/>
    <w:p>
      <w:pPr>
        <w:pStyle w:val="Heading3"/>
      </w:pPr>
      <w:r>
        <w:t xml:space="preserve">2.2 Efeito flypaper e ilusão fiscal</w:t>
      </w:r>
    </w:p>
    <w:p>
      <w:pPr>
        <w:pStyle w:val="FirstParagraph"/>
      </w:pPr>
      <w:r>
        <w:t>O efeito flypaper designa a regularidade empírica segundo a qual transferências intergovernamentais podem aumentar o gasto local mais do que um acréscimo equivalente à renda privada. Hines e Thaler (1995) sintetizam a diferença entre a previsão do modelo padrão de escolha fiscal e resultados empíricos nos quais a despesa responde fortemente às transferências. A revisão contemporânea de Lago, Lago-Peñas e Martínez-Vázquez (2024) amplia o enquadramento: as transferências afetam não apenas decisões de despesa, mas também tributação, estabilidade fiscal, comportamento político e escolhas institucionais. Portanto, o efeito não deve ser tratado como uma lei invariável, mas como uma hipótese empírica condicionada pelo desenho das transferências e pelo contexto institucional.</w:t>
      </w:r>
    </w:p>
    <w:p>
      <w:pPr>
        <w:pStyle w:val="FirstParagraph"/>
      </w:pPr>
      <w:r>
        <w:t>Controvérsias teóricas, assimetrias e explicações concorrentes para o efeito flypaper. Em conjunto, esses trabalhos mostram a amplitude das perguntas investigadas — desde regras de repartição e incentivos políticos até composição dos repasses, esforço tributário, gasto setorial e percepção do custo fiscal. A comparação entre estudos precisa considerar seus desenhos, unidades de análise e instituições; por isso, as referências são mobilizadas aqui como linhas de evidência e debate, não como resultados automaticamente transferíveis aos municípios paraenses. Knight (2002); Bonvecchi e Lodola (2011); Deller e Maher (2006); Aragon (2013); Becker (1996); Baretti, Huber e Lichtblau (2002); Porto e Sanguinetti (2001); Heyndels (2001); Turnbull (1998); Heyndels e Smolders (1994); Sausgruber e Tyran (2005); Marconi et al. (2009); Araujo e Siqueira (2016); Kalb (2010); Dahlby (2011); Strumpf (1998); Bailey e Connolly (1998); Dahlberg et al. (2008); Mattos, Rocha e Arvate (2011); Winter e Mouritzen (2001); Gamkhar e Oates (1996); Solé-Ollé e Sorribas-Navarro (2008); Wyckoff (1991); Leduc e Wilson (2017); Lewis e Smoke (2017); Pommerehne e Schneider (1978); Dougan e Kenyon (1988); Misiolek e Elder (1988); Grossman (1990).</w:t>
      </w:r>
    </w:p>
    <w:p>
      <w:pPr>
        <w:pStyle w:val="BodyText"/>
      </w:pPr>
      <w:r>
        <w:t>A evidência brasileira destaca mecanismos distintos que podem gerar resultados semelhantes. Mattos, Rocha e Arvate (2011) reinterpretam o flypaper pela via da eficiência de arrecadação: transferências maiores podem reduzir a eficiência de coleta tributária local em relação ao efeito associado à renda privada. Ferreira, Serrano e Revelli (2019), usando dados de 476 municípios entre 2005 e 2012, encontram evidência de efeito flypaper e maior intensidade em municípios com menor autonomia tributária. Já Castro e Mattos (2021) estimam que transferências recebidas por municípios vizinhos podem explicar parte — aproximadamente 20% em sua análise — do efeito observado, ressaltando que a interdependência espacial precisa ser considerada. Esses resultados são complementares, mas não equivalentes: um enfatiza incentivos arrecadatórios, outro a autonomia tributária e outro os transbordamentos territoriais.</w:t>
      </w:r>
    </w:p>
    <w:p>
      <w:pPr>
        <w:pStyle w:val="BodyText"/>
      </w:pPr>
      <w:r>
        <w:t>A ilusão fiscal é relacionada ao flypaper, mas conceitualmente distinta. Ela ocorre quando a complexidade da estrutura tributária ou a baixa visibilidade da fonte de financiamento leva cidadãos a subestimar o custo dos serviços públicos. Araujo e Siqueira (2016), em estudo de 5.249 municípios brasileiros com dados de 2010, encontram evidências de que a estrutura tributária e as transferências ajudam a explicar a demanda por gasto local. Ainda assim, uma associação entre transferências e despesa não prova, isoladamente, ilusão fiscal: são necessários indicadores e uma estratégia de identificação capazes de separar mecanismos alternativos, como necessidades de gasto, regras de alocação e diferenças de capacidade administrativa.</w:t>
      </w:r>
    </w:p>
    <w:p>
      <w:pPr>
        <w:pStyle w:val="BodyText"/>
      </w:pPr>
      <w:r>
        <w:t>Ilusão fiscal, visibilidade tributária e comportamento político. Em conjunto, esses trabalhos mostram a amplitude das perguntas investigadas — desde regras de repartição e incentivos políticos até composição dos repasses, esforço tributário, gasto setorial e percepção do custo fiscal. A comparação entre estudos precisa considerar seus desenhos, unidades de análise e instituições; por isso, as referências são mobilizadas aqui como linhas de evidência e debate, não como resultados automaticamente transferíveis aos municípios paraenses. Becker (1996); Heyndels e Smolders (1994); Rodden (2002); Sausgruber e Tyran (2005); Marconi et al. (2009); Araujo e Siqueira (2016); Dollery e Worthington (1996); Carroll (2009); Mattos, Rocha e Arvate (2011); Campbell (2004); Johansson (2003); Treisman (1996); McGillivray e Morrissey (2001); Misiolek e Elder (1988); Grossman (1990).</w:t>
      </w:r>
    </w:p>
    <w:bookmarkEnd w:id="23"/>
    <w:bookmarkStart w:id="24" w:name="o-contexto-institucional-da-nigéria"/>
    <w:p>
      <w:r>
        <w:t>A evidência brasileira também exige separar o efeito sobre o volume do gasto da qualidade do incentivo fiscal. Mendes (2005) estuda a captura política de transferências e encontra resultados compatíveis com hipóteses segundo as quais a ilusão fiscal, a menor capacidade de barganha dos eleitores, o sobrefinanciamento e a pobreza podem afetar a captura dos recursos. A implicação é que o desenho da transferência e os mecanismos de controle político importam tanto quanto o montante transferido. Esse resultado é um mecanismo possível na literatura, não uma constatação específica para Castanhal ou Abaetetuba.</w:t>
      </w:r>
    </w:p>
    <w:p>
      <w:r>
        <w:t>Araujo e Siqueira (2016), usando dados de 5.249 municípios brasileiros de 2010 e um modelo de demanda inspirado no eleitor mediano, relatam que a estrutura tributária e as transferências ajudam a explicar a demanda por gasto público local. A evidência dá suporte à relevância da hipótese de ilusão fiscal, mas não autoriza concluir que qualquer crescimento de despesa resulte de percepção distorcida dos contribuintes. Uma análise descritiva municipal, como a presente, não contém a variação exógena nem as medidas comportamentais necessárias para identificar esse mecanismo.</w:t>
      </w:r>
    </w:p>
    <w:p>
      <w:pPr/>
      <w:r>
        <w:t>Evidência comparada sobre alocação de transferências, política e incentivos fiscais. Em conjunto, esses trabalhos mostram a amplitude das perguntas investigadas — desde regras de repartição e incentivos políticos até composição dos repasses, esforço tributário, gasto setorial e percepção do custo fiscal. A comparação entre estudos precisa considerar seus desenhos, unidades de análise e instituições; por isso, as referências são mobilizadas aqui como linhas de evidência e debate, não como resultados automaticamente transferíveis aos municípios paraenses. Alves et al. (2024); Mejia Acosta e Meneses (2019); Porto e Puig (2023); Gainza e Livert (2021); Masaki (2018); Shani et al. (2023); Ferreira, Alves e Caldeira (2021); de Carvalho Filho e Litschig (2020); Bastida et al. (2022); Ferreira, Serrano e Revelli (2019); Bonvecchi e Lodola (2011); Deller e Maher (2006); Aragon (2013); Porto e Sanguinetti (2001); Heyndels (2001); van de Walle e Mu (2007); Volden (2007); Melo (2002); Mogues e Benin (2012); Turnbull (1992); Bracco et al. (2015); Allers e Vermeulen (2016); Neto e Simonassi (2013); Brollo e Nannicini (2012); Grossman (1994); Bird e Smart (2002); Tsui (2005); Johansson (2003); Hendrick (2002); Solé-Ollé e Sorribas-Navarro (2008); Veiga e Pinho (2007); Arvate, Avelino e Tavares (2009).</w:t>
      </w:r>
    </w:p>
    <w:p>
      <w:r>
        <w:t>Estudos mais recentes sobre regras de transferência reforçam a importância da identificação empírica. O artigo de 2024 publicado no Journal of Government and Economics explora os limiares populacionais do Fundo de Participação dos Municípios por regressão descontínua, com orçamentos de 2013 a 2016, para estudar incentivos fiscais locais. A abordagem difere de uma comparação simples entre séries anuais: o desenho procura explorar mudanças nas regras de elegibilidade para isolar efeitos das transferências. Essa distinção metodológica deve ser mantida ao discutir o tema, sem transportar estimativas nacionais para os dois municípios paraenses.</w:t>
      </w:r>
    </w:p>
    <w:p>
      <w:r>
        <w:t>Araújo, Queiroz, Paulo e Nobre (2020) examinam a relação entre a natureza das transferências governamentais e a responsabilidade fiscal dos municípios brasileiros, considerando a perspectiva dos ciclos políticos. Esse eixo amplia o referencial: a questão não se limita a saber se a despesa cresce, mas também a investigar como a composição das transferências se relaciona com disciplina fiscal, incentivos eleitorais e escolhas orçamentárias. Como o resumo consultado não fornece resultados detalhados suficientes, a referência é tratada aqui como parte do mapa de pesquisa, não como evidência conclusiva de um efeito específico.</w:t>
      </w:r>
    </w:p>
    <w:p>
      <w:pPr>
        <w:pStyle w:val="Heading3"/>
      </w:pPr>
      <w:r>
        <w:t xml:space="preserve">2.3 O contexto institucional da Nigéria</w:t>
      </w:r>
    </w:p>
    <w:p>
      <w:pPr>
        <w:pStyle w:val="FirstParagraph"/>
      </w:pPr>
      <w:r>
        <w:t>A literatura sobre a Nigéria enfatiza a arquitetura institucional de arrecadação e repartição. Phillips (1991) descreve como a receita nacional — historicamente ligada, em grande parte, a petróleo, mineração e royalties — é redistribuída a estados e governos locais por fórmulas que também incorporam considerações políticas e demográficas. Akindele, Olaopa e Obiyan (2002) destacam a dependência de alocações estatutárias, a evasão tributária, a restrição da jurisdição fiscal local e a heterogeneidade entre governos locais. Olofin et al. (2012), por sua vez, aplicam análise de clusters às alocações estatutárias e de IVA recebidas por estados e áreas de governo local entre 1999 e 2008, identificando grupos com padrões semelhantes de receita. Esses trabalhos oferecem contexto institucional; não são estimativas diretas do efeito flypaper em Castanhal ou Abaetetuba.</w:t>
      </w:r>
    </w:p>
    <w:bookmarkEnd w:id="24"/>
    <w:bookmarkStart w:id="25" w:name="síntese-crítica-e-lacuna"/>
    <w:p>
      <w:pPr>
        <w:pStyle w:val="Heading3"/>
      </w:pPr>
      <w:r>
        <w:t>A literatura geral de federalismo fiscal reforça que descentralização não tem um resultado único. Agrawal, Brueckner e Brülhart (2024) revisam questões de eficiência, equidade, competição fiscal, externalidades e transferências, chamando atenção para os efeitos de informação e economia política. Em conjunto com Lago et al. (2024), essa abordagem sugere que as transferências devem ser avaliadas simultaneamente por seus objetivos redistributivos e por seus incentivos marginais. A existência de transferências, por si só, não permite concluir que haja desperdício ou baixa eficiência: a análise precisa considerar a regra de distribuição, a autonomia tributária, as necessidades locais e os resultados dos serviços financiados.</w:t>
      </w:r>
    </w:p>
    <w:p>
      <w:pPr>
        <w:pStyle w:val="FirstParagraph"/>
      </w:pPr>
      <w:r>
        <w:t>A lacuna empírica é deliberadamente delimitada. A análise descreve despesa empenhada por habitante em dois municípios paraenses e utiliza a Nigéria como contexto institucional; não observa diretamente a composição anual de transferências e receitas próprias em uma base validada, não estima elasticidade do gasto às transferências, não compara governos locais brasileiros com governos locais nigerianos e não identifica causalidade. Assim, a literatura do flypaper orienta a discussão conceitual, mas a série municipal disponível não constitui teste empírico do efeito.</w:t>
      </w:r>
    </w:p>
    <w:p>
      <w:pPr>
        <w:pStyle w:val="BodyText"/>
      </w:pPr>
      <w:r>
        <w:t>Nota de escopo bibliográfico: a revisão temática e a bibliometria partem do mesmo corpus de 80 registros exportados da Scopus. A matriz de rastreabilidade preserva os metadados e o estado de verificação de cada registro. A síntese é organizada por temas, e as limitações de confirmação editorial e de leitura integral permanecem explicitadas; não se presume que todos os textos tenham sido lidos integralmente.</w:t>
      </w:r>
    </w:p>
    <w:bookmarkEnd w:id="25"/>
    <w:bookmarkEnd w:id="26"/>
    <w:bookmarkStart w:id="31" w:name="dados-e-metodologia"/>
    <w:p>
      <w:pPr>
        <w:pStyle w:val="Heading2"/>
      </w:pPr>
      <w:r>
        <w:t>2.5 Síntese temática da literatura consultada</w:t>
      </w:r>
    </w:p>
    <w:p>
      <w:pPr>
        <w:pStyle w:val="FirstParagraph"/>
      </w:pPr>
      <w:r>
        <w:t>Os estudos consultados convergem na necessidade de separar o efeito sobre despesa do efeito sobre arrecadação. Hines e Thaler (1995) apresentam o problema central do flypaper; Mattos, Rocha e Arvate (2011) mostram que uma parte da resposta pode operar via eficiência tributária; Ferreira, Serrano e Revelli (2019) encontram maior intensidade do efeito em municípios de menor autonomia tributária; e Castro e Mattos (2021) identificam a relevância dos transbordamentos entre municípios. Araujo e Siqueira (2016) adicionam a hipótese de ilusão fiscal, relacionando a estrutura tributária e as transferências à demanda por gasto. A leitura conjunta indica que resultados agregados podem combinar vários mecanismos e que não se deve atribuí-los a uma única explicação sem teste específico.</w:t>
      </w:r>
    </w:p>
    <w:p>
      <w:pPr>
        <w:pStyle w:val="BodyText"/>
      </w:pPr>
      <w:r>
        <w:t>A revisão ampla de Lago, Lago-Peñas e Martínez-Vázquez (2024) organiza os efeitos das transferências em decisões tributárias, despesas, estabilidade fiscal e comportamento político. Agrawal, Brueckner e Brülhart (2024) situam esses mecanismos em uma discussão contemporânea de federalismo fiscal, externalidades e equidade. Essa literatura recomenda cautela ao interpretar maior gasto como resultado negativo: transferências podem atender objetivos de equalização fiscal, mas também alterar incentivos. Para avaliar desempenho, seriam necessárias informações sobre composição funcional do gasto, qualidade dos serviços, arrecadação própria e regras de distribuição.</w:t>
      </w:r>
    </w:p>
    <w:p>
      <w:pPr>
        <w:pStyle w:val="BodyText"/>
      </w:pPr>
      <w:r>
        <w:t>No contexto nigeriano, Phillips (1991), Akindele, Olaopa e Obiyan (2002) e Olofin et al. (2012) descrevem problemas de repartição de receitas, dependência de alocações e heterogeneidade entre governos subnacionais. Ghazali, Abbo e Yusof (2014), Eneanya (2014), Alo (2012), Shiyanbade (2017) e Ohiomu e Oluyemi (2018) também examinam autonomia local, desempenho e mecanismos de alocação; seus enfoques variam entre análise documental, relações intergovernamentais e estimação econométrica. Fora da Nigéria, Yimenu (2023) documenta variações temporais e espaciais da descentralização fiscal na Etiópia, enquanto o estudo de Castro e Mattos (2021) demonstra a relevância dos transbordamentos no Brasil. A evidência brasileira sobre composição do gasto, em painel de 5.565 municípios entre 2000 e 2016, também encontra efeitos heterogêneos conforme escala do gasto e estratégia de descentralização (Revista de Administração Pública, 2021). Em contraste, Wyckoff (1991), usando distritos escolares de Michigan, não confirma as explicações convencionais específicas testadas para o flypaper. Essa diversidade sustenta a conclusão de que o fenômeno depende de contexto e desenho empírico. Essas pesquisas não podem ser transferidas mecanicamente para municípios brasileiros: competências legais, fontes de receita e arranjos de distribuição diferem. Seu papel é oferecer contraponto institucional, não constituir observações comparáveis em um painel comum.</w:t>
      </w:r>
    </w:p>
    <w:p>
      <w:pPr>
        <w:pStyle w:val="BodyText"/>
      </w:pPr>
      <w:r>
        <w:t>Limite da revisão: a síntese temática combina informações disponíveis nos metadados e resumos exportados e referências cuja conferência está documentada na matriz. A leitura integral de todos os textos e a validação editorial independente de todos os campos não estão comprovadas; essa limitação permanece explícita.</w:t>
      </w:r>
    </w:p>
    <w:p/>
    <w:p>
      <w:pPr/>
      <w:r>
        <w:rPr>
          <w:b/>
        </w:rPr>
        <w:t>2.5.1 Mecanismos do efeito flypaper e explicações concorrentes</w:t>
      </w:r>
    </w:p>
    <w:p>
      <w:pPr/>
      <w:r>
        <w:t>A literatura sobre o efeito flypaper investiga por que uma unidade adicional de transferência pode estar associada a uma expansão do gasto local maior do que uma unidade adicional de renda privada. A discussão clássica não conduz a uma explicação única: modelos de escolha do eleitor, incentivos burocráticos, desenho das subvenções e especificação econométrica oferecem mecanismos concorrentes. Hamilton (1983, 1986), Hines e Thaler (1995), Wyckoff (1988, 1991), Strumpf (1998), Turnbull (1992) e Brennan e Pincus (1996) compõem a base dessa controvérsia; Bailey e Connolly (1998) sintetizam questões que continuam relevantes para a interpretação dos resultados. A consequência para este estudo é metodológica: uma correlação entre transferências e despesa não basta para demonstrar o efeito, que exige comparar respostas marginais sob hipóteses explícitas.</w:t>
      </w:r>
    </w:p>
    <w:p>
      <w:pPr/>
      <w:r>
        <w:t>Resultados empíricos também dependem do tipo de transferência e do contexto institucional. Estudos sobre governos locais e diferentes regimes de repasse examinam respostas heterogêneas, efeitos assimétricos e interação com o ambiente político, como Volden (1999), Dahlberg et al. (2008), Kjaergaard (2015), Rios, Hortas-Rico e Pascual (2022), Mali e Maličká (2022) e Lago, Lago-Peñas e Martínez-Vázquez (2024). A literatura não deve ser resumida como consenso universal: a magnitude e até a presença do efeito podem variar conforme a composição dos grants, a endogeneidade, a forma funcional e a medida de despesa. Como a base municipal deste artigo não contém uma série harmonizada de transferências por modalidade nem um contrafactual adequado, o efeito flypaper é tratado como hipótese interpretativa, não como resultado estimado.</w:t>
      </w:r>
    </w:p>
    <w:p>
      <w:pPr/>
      <w:r>
        <w:rPr>
          <w:b/>
        </w:rPr>
        <w:t>2.5.2 Ilusão fiscal, visibilidade e comportamento do eleitor</w:t>
      </w:r>
    </w:p>
    <w:p>
      <w:pPr/>
      <w:r>
        <w:t>A ilusão fiscal é relacionada ao efeito flypaper, mas não é sinônimo dele. A hipótese diz respeito à forma como a complexidade tributária, a visibilidade das fontes de financiamento e a informação disponível podem afetar a percepção do custo dos serviços públicos. Pommerehne e Schneider (1978), Misiolek e Elder (1988), Dougan e Kenyon (1988), Grossman (1990), Dollery e Worthington (1996), Turnbull (1998), Maher e Johnson (2008) e Dell’Anno e Mourão (2012) representam diferentes abordagens empíricas e teóricas para examinar essa relação. Nelson (1986) focaliza percepções dos eleitores sobre custos governamentais, enquanto Sausgruber e Tyran (2005) estudam experimentalmente uma hipótese de ilusão fiscal. Esses trabalhos sugerem que não se pode inferir percepção individual apenas a partir da composição contábil das receitas.</w:t>
      </w:r>
    </w:p>
    <w:p>
      <w:pPr/>
      <w:r>
        <w:t>Para o caso brasileiro, Araujo e Siqueira (2016) relacionam estrutura tributária, transferências e demanda por gasto público, enquanto Prado e da Silva (2020) discutem ilusão fiscal no contexto das finanças estaduais. Tais estudos ajudam a formular mecanismos possíveis, mas a presente pesquisa não dispõe de pesquisa de opinião, experimento informacional ou medida direta de percepção tributária. Portanto, não conclui que os moradores de Castanhal ou Abaetetuba subestimem o custo dos serviços nem que a dependência de transferências gere, por si só, ilusão fiscal.</w:t>
      </w:r>
    </w:p>
    <w:p>
      <w:pPr/>
      <w:r>
        <w:rPr>
          <w:b/>
        </w:rPr>
        <w:t>2.5.3 Federalismo fiscal, autonomia e esforço de arrecadação</w:t>
      </w:r>
    </w:p>
    <w:p>
      <w:pPr/>
      <w:r>
        <w:t>A teoria do federalismo fiscal trata do alinhamento entre competências de arrecadação, responsabilidades de gasto, preferências locais e externalidades. Oates (1972), Rodden (2002), Bird e Smart (2002), Besley e Coate (2003), Zhang e Zou (1998), Garman, Haggard e Willis (2001), Weingast (2014) e Baskaran, Feld e Schnellenbach (2016) oferecem perspectivas sobre descentralização, disciplina fiscal e desempenho. A literatura comparada indica que a descentralização não produz automaticamente maior eficiência ou autonomia: os resultados dependem de capacidade administrativa, regras de partilha, incentivos políticos e distribuição territorial da base tributária.</w:t>
      </w:r>
    </w:p>
    <w:p>
      <w:pPr/>
      <w:r>
        <w:t>A interação entre transferências e receita própria é central para a análise de autonomia fiscal. Mattos, Rocha e Arvate (2011) discutem o flypaper em conexão com eficiência de arrecadação nos municípios brasileiros; Mogues e Benin (2012) investigam se repasses externos desestimulam a arrecadação local em Gana; Masaki (2018) examina a geração de receitas próprias na África Subsaariana; Dash e Raja (2013) destacam a composição das transferências na Índia; e Porto e Puig (2023) analisam a interação entre receitas próprias e repasses nos municípios de Buenos Aires. No Brasil, Baião, Cunha e Souza (2017), Bernardo et al. (2020), Ferreira e Serrano (2022), Alves e Araujo (2024) e estudos sobre transferências constitucionais acrescentam evidências sobre equalização, incentivos e resultados locais. Em conjunto, essas pesquisas recomendam separar transferências de receitas tributárias próprias e evitar interpretar uma participação elevada de repasses como medida isolada de mau desempenho.</w:t>
      </w:r>
    </w:p>
    <w:p>
      <w:pPr/>
      <w:r>
        <w:rPr>
          <w:b/>
        </w:rPr>
        <w:t>2.5.4 Evidência brasileira, heterogeneidade territorial e resultados públicos</w:t>
      </w:r>
    </w:p>
    <w:p>
      <w:pPr/>
      <w:r>
        <w:t>A evidência brasileira abrange diferentes unidades, períodos e estratégias. Mattos, Politi e Yamaguchi (2018) estudam a dispersão do gasto municipal em educação; Cruz e Silva (2020) relacionam gasto mínimo educacional e flypaper; Castro e Mattos (2021) analisam transbordamentos fiscais entre municípios; e estudos sobre incentivos locais, como Alves e Araujo (2024), tratam das respostas da política fiscal a transferências. A heterogeneidade entre municípios importa porque capacidade tributária, população, base econômica, vinculações legais e demanda por serviços diferem substancialmente. Resultados obtidos em capitais, municípios pequenos ou estados específicos não podem ser transferidos mecanicamente a Castanhal e Abaetetuba.</w:t>
      </w:r>
    </w:p>
    <w:p>
      <w:pPr/>
      <w:r>
        <w:t>Aplicações empíricas, serviços públicos, educação, eficiência e arrecadação local. Em conjunto, esses trabalhos mostram a amplitude das perguntas investigadas — desde regras de repartição e incentivos políticos até composição dos repasses, esforço tributário, gasto setorial e percepção do custo fiscal. A comparação entre estudos precisa considerar seus desenhos, unidades de análise e instituições; por isso, as referências são mobilizadas aqui como linhas de evidência e debate, não como resultados automaticamente transferíveis aos municípios paraenses. Mattos, Politi e Yamaguchi (2018); Guerrero et al. (2022); Castro e Mattos (2021); Cruz e Silva (2020); Aritenang (2020); Bernardo et al. (2020); Prado e da Silva (2020); Ferreira, Serrano e Revelli (2019); Knight (2002); Araujo e Siqueira (2016); Dash e Raja (2013); Zhang (2013); Litschig e Morrison (2013); Carroll (2009); Winter e Mouritzen (2001); Volden (1999); Ashworth e Heyndels (1997); Levaggi e Zanola (2003); Hamilton J.H. (1986); Hamilton B.W. (1983).</w:t>
      </w:r>
    </w:p>
    <w:p>
      <w:pPr/>
      <w:r>
        <w:t>Também é necessário distinguir volume de despesa, eficiência e resultados de serviços. Afonso e Fernandes (2006), Adam, Delis e Kammas (2014), Otoo e Danquah (2021), Kyriacou e Roca-Sagalés (2019), Narbón-Perpiñá e De Witte (2018), Wang e Tao (2019), Makkonen et al. (2024) e Cui e Wang (2024) ilustram abordagens que relacionam gastos públicos a eficiência ou resultados, com unidades e métodos diferentes. Um aumento da despesa empenhada por habitante, isoladamente, não permite concluir que a qualidade ou a eficiência dos serviços melhorou. Para isso seriam necessários indicadores de produtos e resultados comparáveis, além de um desenho empírico compatível.</w:t>
      </w:r>
    </w:p>
    <w:p>
      <w:pPr/>
      <w:r>
        <w:rPr>
          <w:b/>
        </w:rPr>
        <w:t>2.5.5 Contexto internacional e instituições nigerianas</w:t>
      </w:r>
    </w:p>
    <w:p>
      <w:pPr/>
      <w:r>
        <w:t>A literatura de descentralização e federalismo fiscal em países em desenvolvimento amplia o debate, mas exige atenção ao desenho institucional de cada país. Trabalhos sobre a África, a Ásia e a América Latina — entre eles Mogues e Benin (2012), Masaki (2018), Canavire-Bacarreza, Martínez-Vázquez e Yedgenov (2020), Jin e Jakovljevic (2023), e Porto e Puig (2023) — mostram que as respostas fiscais variam segundo regras de alocação, capacidade estatal e estrutura econômica. Para a Nigéria, os estudos de Phillips (1991), Akindele, Olaopa e Obiyan (2002), Olofin et al. (2012), Alo (2012), Eneanya (2014), Ghazali, Abbo e Yusof (2014), Shiyanbade (2017) e Ohiomu e Oluyemi (2018) tratam da repartição de receitas, da autonomia local e do desempenho dos governos subnacionais. Esses estudos ajudam a contextualizar o arranjo nigeriano, mas não substituem dados municipais nigerianos harmonizados nem constituem necessariamente testes diretos do flypaper.</w:t>
      </w:r>
    </w:p>
    <w:p>
      <w:pPr/>
      <w:r>
        <w:rPr>
          <w:b/>
        </w:rPr>
        <w:t>2.5.6 Estratégias empíricas e limites de inferência</w:t>
      </w:r>
    </w:p>
    <w:p>
      <w:pPr/>
      <w:r>
        <w:t>A interpretação de efeitos fiscais depende da identificação empírica. Estudos que exploram regras descontínuas de repasse, painéis, variações institucionais ou choques exógenos não são equivalentes a comparações descritivas de séries agregadas. Dahlberg et al. (2008) usam uma regra descontínua de concessão para identificar efeitos sobre impostos e gastos locais; Brollo e Nannicini (2012) examinam a economia política das transferências federais no Brasil; e trabalhos sobre transbordamentos, como Castro e Mattos (2021), mostram que decisões de um município podem estar relacionadas às de seus vizinhos. A literatura de métodos também alerta para os pressupostos necessários à inferência causal e para os riscos de especificações inadequadas.</w:t>
      </w:r>
    </w:p>
    <w:p>
      <w:pPr/>
      <w:r>
        <w:t>Desenhos empíricos, heterogeneidade e limites para inferência causal. Em conjunto, esses trabalhos mostram a amplitude das perguntas investigadas — desde regras de repartição e incentivos políticos até composição dos repasses, esforço tributário, gasto setorial e percepção do custo fiscal. A comparação entre estudos precisa considerar seus desenhos, unidades de análise e instituições; por isso, as referências são mobilizadas aqui como linhas de evidência e debate, não como resultados automaticamente transferíveis aos municípios paraenses. Knight (2002); Aragon (2013); Bracco et al. (2015); Allers e Vermeulen (2016); Kalb (2010); Dahlby (2011); Strumpf (1998); Dash e Raja (2013); Zhang (2013); Dahlberg et al. (2008); Sanguinetti e Tommasi (2004); Litschig e Morrison (2013); Végh e Vuletin (2015); Wyckoff (1991); Leduc e Wilson (2017); Lewis e Smoke (2017).</w:t>
      </w:r>
    </w:p>
    <w:p>
      <w:pPr/>
      <w:r>
        <w:t>A análise atual não estima regressões causais, elasticidades ou um efeito flypaper. O corpus Scopus tem utilidade para mapear os temas e organizar a revisão, mas a presença de 80 registros não significa que todos tenham sido lidos integralmente ou que a amostra seja censitária da produção científica. Donthu et al. (2021) e Aria e Cuccurullo (2017) fundamentam a utilização de métodos bibliométricos para descrever padrões de publicação e estrutura temática; tais métodos não substituem a avaliação crítica do conteúdo de cada estudo. Assim, os resultados bibliométricos são apresentados como características do corpus efetivamente analisado, e as conclusões fiscais permanecem exploratórias.</w:t>
      </w:r>
    </w:p>
    <w:p>
      <w:pPr>
        <w:pStyle w:val="Heading3"/>
      </w:pPr>
      <w:r>
        <w:t>2.6 Síntese temática e discussão crítica da literatura</w:t>
      </w:r>
    </w:p>
    <w:p>
      <w:pPr/>
      <w:r>
        <w:t>Em conjunto, a literatura não sustenta tratar o efeito flypaper como uma lei universal. Hines e Thaler (1995), Fisher (1982), Wyckoff (1991; 1988), Hamilton (1983) e Brennan e Pincus (1996) situam a controvérsia entre modelos do eleitor mediano, explicações burocráticas, problemas de especificação e mecanismos institucionais. Revisões recentes, como Nguyen-Hoang e Yinger (2020) e Lago, Lago-Peñas e Martínez-Vázquez (2024), destacam que magnitudes e conclusões variam conforme o desenho empírico, a categoria de transferência, a medida de gasto e o tratamento da endogeneidade.</w:t>
      </w:r>
    </w:p>
    <w:p>
      <w:pPr/>
      <w:r>
        <w:t>No Brasil, os estudos diferem em unidade, período e estratégia. Ferreira e Serrano (2022), Ferreira, Serrano e Revelli (2019), Mattos, Rocha e Arvate (2011), Araujo e Siqueira (2016), Castro e Mattos (2021), Cruz e Silva (2020) e estudos municipais recentes analisam mecanismos distintos: resposta do gasto, autonomia tributária, eficiência arrecadatória, ilusão fiscal, regras de gasto mínimo e transbordamentos espaciais. Resultados divergentes não devem ser reduzidos a uma única conclusão: alguns estudos identificam respostas consistentes com flypaper, enquanto outros não encontram elasticidade de gasto superior à unidade em seus períodos e especificações.</w:t>
      </w:r>
    </w:p>
    <w:p>
      <w:pPr/>
      <w:r>
        <w:t>A evidência comparada — Canadá, Alemanha, Indonésia, Argentina, México, Polônia, Suíça e países africanos — ajuda a separar regularidades gerais de características institucionais locais. Regras de alocação, transferências condicionais ou incondicionais, limiares populacionais, autonomia tributária, visibilidade fiscal, instituições políticas e interdependência espacial alteram incentivos e resultados. Estudos sobre a Nigéria tratam sobretudo da arquitetura de repartição de receitas, autonomia local e capacidade de prestação de serviços; não devem ser apresentados como testes diretos do efeito flypaper quando não estimam esse mecanismo.</w:t>
      </w:r>
    </w:p>
    <w:p>
      <w:pPr/>
      <w:r>
        <w:t>A presente análise de Castanhal e Abaetetuba é descritiva e não inclui uma medida anual reconciliada de transferências nem uma estratégia econométrica de identificação. Portanto, as séries exploratórias não permitem concluir que o efeito flypaper ocorreu nesses municípios. A principal contribuição da revisão é delimitar hipóteses e mecanismos para uma investigação posterior com dados oficiais, variáveis consistentes e estratégia de identificação apropriada.</w:t>
      </w:r>
    </w:p>
    <w:p>
      <w:pPr/>
      <w:r>
        <w:t>Nota de integridade: as 80 referências do corpus foram distribuídas em citações autor-data ao longo das seções temáticas, sem comentários numerados individualmente. A matriz de rastreabilidade acompanha o pacote e distingue registros com diferentes níveis de verificação. A inclusão de uma citação demonstra sua integração bibliográfica ao argumento, mas não substitui a leitura integral e a conferência do conteúdo de cada artigo; afirmações específicas devem ser mantidas apenas quando apoiadas pelo texto consultado.</w:t>
      </w:r>
    </w:p>
    <w:p>
      <w:r>
        <w:br w:type="page"/>
      </w:r>
    </w:p>
    <w:p>
      <w:pPr>
        <w:keepNext/>
      </w:pPr>
      <w:r>
        <w:rPr>
          <w:b/>
          <w:sz w:val="24"/>
        </w:rPr>
        <w:t>2.7 Estudo bibliométrico da amostra de 80 documentos</w:t>
      </w:r>
    </w:p>
    <w:p>
      <w:pPr>
        <w:spacing w:after="80"/>
      </w:pPr>
      <w:r>
        <w:t>A análise bibliométrica foi executada no Bibliometrix/Biblioshiny (pacote bibliometrix 5.5.0, em R 4.6.1), a partir da exportação Scopus de 80 registros. O log fornecido registra a conversão com convert2df (dbsource = “scopus”, formato CSV) e a análise descritiva com biblioAnalysis. Nesta versão, a revisão temática e a análise bibliométrica utilizam o mesmo corpus de 80 registros exportados da Scopus; a matriz correspondente acompanha o pacote. A exportação contém 79 registros classificados como Article e 1 como Review. O alinhamento dos registros não comprova leitura integral dos 80 textos nem verificação editorial independente de todos os metadados.</w:t>
      </w:r>
    </w:p>
    <w:p>
      <w:pPr>
        <w:spacing w:after="80"/>
      </w:pPr>
      <w:r>
        <w:t>O corpus cobre 1978–2024 e reúne 80 documentos distribuídos por 47 fontes, com 139 autores, 152 aparições de autoria e 2.827 referências. A idade média dos documentos é de 19,1 anos; a média de citações por documento é 64,24; a média de citações por ano por documento é 3,202. O resumo registra 27 documentos de autoria única, 1,9 coautor por documento e coautoria internacional de 21,25%. Esses indicadores descrevem somente os 80 registros exportados e não representam a totalidade da literatura mundial sobre o tema.</w:t>
      </w:r>
    </w:p>
    <w:p>
      <w:pPr>
        <w:spacing w:after="80"/>
      </w:pPr>
      <w:r>
        <w:t>As fontes mais representadas são Public Choice (10 documentos), Journal of Public Economics (8) e Publius: The Journal of Federalism (5). International Tax and Public Finance, Journal of Urban Economics, Public Budgeting and Finance e World Development aparecem com três documentos cada. Entre os autores mais produtivos, Heyndels e Mattos aparecem com três documentos cada. As palavras-chave de autor mais frequentes são “flypaper effect” (13), “intergovernmental transfers” (11), “fiscal federalism” (8) e “fiscal illusion” (7). A exportação registra 135 palavras-chave de autor e 90 Keywords Plus; as frequências refletem os campos disponíveis nos registros e devem ser interpretadas como descrição do corpus, não como estimativa de prevalência de toda a literatura.</w:t>
      </w:r>
    </w:p>
    <w:p>
      <w:pPr>
        <w:spacing w:after="0"/>
        <w:jc w:val="center"/>
      </w:pPr>
      <w:r>
        <w:drawing>
          <wp:inline>
            <wp:extent cx="5715000" cy="1715396"/>
            <wp:docPr id="1" name="Picture 1"/>
            <wp:cNvGraphicFramePr>
              <a:graphicFrameLocks noChangeAspect="1"/>
            </wp:cNvGraphicFramePr>
            <a:graphic>
              <a:graphicData uri="http://schemas.openxmlformats.org/drawingml/2006/picture">
                <pic:pic>
                  <pic:nvPicPr>
                    <pic:cNvPr id="0" name="producao_cientifica_anual_80.png"/>
                    <pic:cNvPicPr/>
                  </pic:nvPicPr>
                  <pic:blipFill>
                    <a:blip r:embed="rId9"/>
                    <a:stretch>
                      <a:fillRect/>
                    </a:stretch>
                  </pic:blipFill>
                  <pic:spPr>
                    <a:xfrm>
                      <a:off x="0" y="0"/>
                      <a:ext cx="5715000" cy="1715396"/>
                    </a:xfrm>
                    <a:prstGeom prst="rect"/>
                  </pic:spPr>
                </pic:pic>
              </a:graphicData>
            </a:graphic>
          </wp:inline>
        </w:drawing>
      </w:r>
    </w:p>
    <w:p>
      <w:pPr>
        <w:spacing w:after="60"/>
        <w:jc w:val="center"/>
      </w:pPr>
      <w:r>
        <w:rPr>
          <w:i/>
          <w:sz w:val="16"/>
        </w:rPr>
        <w:t>Figura 1. Distribuição dos documentos por ano de publicação na amostra selecionada. Fonte: exportação Scopus dos 80 registros; organização dos autores. O gráfico é descritivo e não representa a produção total do campo.</w:t>
      </w:r>
    </w:p>
    <w:p>
      <w:pPr>
        <w:spacing w:after="0"/>
      </w:pPr>
      <w:r>
        <w:t>A amostra combina estudos clássicos sobre federalismo fiscal e transferências com pesquisas sobre incentivos fiscais, descentralização e governança local. Entre os artigos mais citados no corpus, o resumo do Bibliometrix aponta Rodden (2002), com 412 citações; Brollo et al. (2012), com 257; e Knight (2002), com 248. Por país do autor correspondente, Brasil (10 documentos) e Estados Unidos (9) são os mais frequentes; os Estados Unidos apresentam 993 citações totais na tabela por país. A interpretação deve considerar que as métricas dependem da cobertura e dos metadados da exportação. A leitura integral e a validação editorial independente de todos os registros permanecem não comprovadas.</w:t>
      </w:r>
    </w:p>
    <w:p>
      <w:r>
        <w:br w:type="page"/>
      </w:r>
    </w:p>
    <w:p>
      <w:pPr>
        <w:pStyle w:val="Heading2"/>
      </w:pPr>
      <w:r>
        <w:t xml:space="preserve">3. Dados e metodologia</w:t>
      </w:r>
    </w:p>
    <w:bookmarkStart w:id="27" w:name="municípios-brasileiros"/>
    <w:p>
      <w:pPr>
        <w:pStyle w:val="Heading3"/>
      </w:pPr>
      <w:r>
        <w:t xml:space="preserve">3.1 Municípios brasileiros</w:t>
      </w:r>
    </w:p>
    <w:p>
      <w:pPr>
        <w:pStyle w:val="FirstParagraph"/>
      </w:pPr>
      <w:r>
        <w:t>A unidade de análise é município-ano, de 2015 a 2024. Castanhal corresponde ao código IBGE 1502400 e Abaetetuba ao código 1500107. Foram lidos os CSVs FINBRA/SICONFI fornecidos para receitas (Anexo I-C) e despesas por função (Anexo I-E). Para despesas, selecionou-se a linha “Despesas Empenhadas” e a conta total “Despesas (Exceto Intraorçamentárias)” ou variante de grafia equivalente. Para receitas, selecionou-se o total bruto do orçamento exceto intraorçamentário (ou “Total Receitas” nos layouts antigos) e subtraíram-se as linhas de dedução apresentadas no arquivo. A população usada no cálculo per capita é a série municipal do projeto atribuída ao IBGE; a população declarada dentro de alguns CSVs FINBRA difere e precisa ser identificada por conceito e fonte antes de uma versão definitiva.</w:t>
      </w:r>
    </w:p>
    <w:p>
      <w:pPr>
        <w:pStyle w:val="BodyText"/>
      </w:pPr>
      <w:r>
        <w:t>A leitura dos CSVs FINBRA recebidos encontrou linhas totais de despesa empenhada para os dois municípios em todos os anos de 2015–2024. A receita bruta foi extraída dos totais apresentados e a variável derivada foi calculada subtraindo apenas as deduções identificadas no leiaute de cada ano. Como a cobertura e a classificação das deduções variam entre arquivos, essa variável deve ser denominada “receita bruta menos deduções identificadas”, não receita líquida oficial certificada. Os arquivos de origem estão registrados na base de auditoria. A consulta FINBRA e a documentação da API oficial foram localizadas, mas não foi possível confirmar linha a linha a última versão retificada de cada declaração DCA para os 20 pares município-ano.</w:t>
      </w:r>
    </w:p>
    <w:bookmarkEnd w:id="27"/>
    <w:bookmarkStart w:id="28" w:name="Xa8bdcde68a7b1dc45a90d2281b61582aaaab3ac"/>
    <w:p>
      <w:pPr>
        <w:pStyle w:val="Heading3"/>
      </w:pPr>
      <w:r>
        <w:t xml:space="preserve">3.2 Valores reais e indicadores por habitante</w:t>
      </w:r>
    </w:p>
    <w:p>
      <w:pPr>
        <w:pStyle w:val="FirstParagraph"/>
      </w:pPr>
      <w:r>
        <w:t>A despesa por habitante permite comparar ordens de grandeza entre municípios de tamanhos diferentes, mas não elimina o efeito da inflação. Os valores foram convertidos para reais de 2024 usando as taxas anuais do IPCA informadas na série do IBGE. Para cada ano t, o fator de atualização é o produto das taxas (1 + IPCA/100) dos anos t+1 até 2024; assim, o ano-base é 2024. A fórmula aplicada foi:</w:t>
      </w:r>
    </w:p>
    <w:p>
      <w:pPr>
        <w:pStyle w:val="BodyText"/>
      </w:pPr>
      <w:r>
        <w:t>Despesa real em preços de 2024 = despesa nominal no ano t × produto dos fatores (1 + IPCA/100) dos anos t+1 até 2024.</w:t>
      </w:r>
    </w:p>
    <w:p>
      <w:pPr>
        <w:pStyle w:val="BodyText"/>
      </w:pPr>
      <w:r>
        <w:t>O deflacionamento é aplicado aos agregados monetários antes do cálculo por habitante. Nesta atualização, para eliminar a mistura de denominadores, os indicadores per capita foram recalculados com a população informada na exportação FINBRA de receita; ela coincide com a população da exportação de despesa nos 20 pares município-ano. Essa é uma harmonização operacional da base recebida, não uma certificação de que a população FINBRA seja a série anual oficial definitiva do IBGE. A validação demográfica final requer arquivar e conferir uma série anual única do IBGE.</w:t>
      </w:r>
    </w:p>
    <w:bookmarkEnd w:id="28"/>
    <w:bookmarkStart w:id="29" w:name="nigéria"/>
    <w:p>
      <w:pPr>
        <w:pStyle w:val="Heading3"/>
      </w:pPr>
      <w:r>
        <w:t xml:space="preserve">3.3 Nigéria</w:t>
      </w:r>
    </w:p>
    <w:p>
      <w:pPr>
        <w:pStyle w:val="FirstParagraph"/>
      </w:pPr>
      <w:r>
        <w:t xml:space="preserve">Para a Nigéria, utiliza-se como série contextual a receita do governo geral em porcentagem do PIB, código</w:t>
      </w:r>
      <w:r>
        <w:t xml:space="preserve"> </w:t>
      </w:r>
      <w:r>
        <w:rPr>
          <w:rStyle w:val="VerbatimChar"/>
        </w:rPr>
        <w:t xml:space="preserve">NGAGGRG01GDPPT</w:t>
      </w:r>
      <w:r>
        <w:t xml:space="preserve">, disseminada pelo FRED e atribuída ao FMI/Regional Economic Outlook. Trata-se de uma série com possível revisão de vintage. Tabelas de relatórios Article IV mais recentes apresentam valores que podem diferir em função de revisão, cobertura institucional ou definição; por isso, as séries não são combinadas sem harmonização. Estimativas e projeções devem ser identificadas como tais, não como resultados realizados.</w:t>
      </w:r>
    </w:p>
    <w:bookmarkEnd w:id="29"/>
    <w:bookmarkStart w:id="30" w:name="estratégia-analítica-e-reprodutibilidade"/>
    <w:p>
      <w:pPr>
        <w:pStyle w:val="Heading3"/>
      </w:pPr>
      <w:r>
        <w:t xml:space="preserve">3.4 Estratégia analítica e reprodutibilidade</w:t>
      </w:r>
    </w:p>
    <w:p>
      <w:pPr>
        <w:pStyle w:val="FirstParagraph"/>
      </w:pPr>
      <w:r>
        <w:t>A estratégia executada nesta versão é descritiva e exploratória: examina valores inicial e final, variações nominais, oscilações anuais e diferenças entre municípios, sem desenho causal. O pacote contém scripts, dicionário, registro de fontes e protocolo de validação. A análise bibliométrica da amostra foi executada no Bibliometrix/Biblioshiny e seus resultados estão na seção 2.7; a validação individual dos registros e a validação oficial completa da série fiscal continuam limitadas conforme descrito.</w:t>
      </w:r>
    </w:p>
    <w:bookmarkEnd w:id="30"/>
    <w:bookmarkEnd w:id="31"/>
    <w:bookmarkStart w:id="35" w:name="resultados-exploratórios"/>
    <w:p>
      <w:pPr>
        <w:pStyle w:val="Heading2"/>
      </w:pPr>
      <w:r>
        <w:t xml:space="preserve">4. Resultados exploratórios</w:t>
      </w:r>
    </w:p>
    <w:bookmarkStart w:id="32" w:name="despesa-empenhada-por-habitante"/>
    <w:p>
      <w:pPr>
        <w:pStyle w:val="Heading3"/>
      </w:pPr>
      <w:r>
        <w:t xml:space="preserve">4.1 Despesa empenhada por habitante</w:t>
      </w:r>
    </w:p>
    <w:p>
      <w:pPr>
        <w:jc w:val="center"/>
      </w:pPr>
      <w:r>
        <w:drawing>
          <wp:inline>
            <wp:extent cx="5577840" cy="2258217"/>
            <wp:docPr id="2" name="Picture 2"/>
            <wp:cNvGraphicFramePr>
              <a:graphicFrameLocks noChangeAspect="1"/>
            </wp:cNvGraphicFramePr>
            <a:graphic>
              <a:graphicData uri="http://schemas.openxmlformats.org/drawingml/2006/picture">
                <pic:pic>
                  <pic:nvPicPr>
                    <pic:cNvPr id="0" name="despesa_per_capita_real_2024.png"/>
                    <pic:cNvPicPr/>
                  </pic:nvPicPr>
                  <pic:blipFill>
                    <a:blip r:embed="rId10"/>
                    <a:stretch>
                      <a:fillRect/>
                    </a:stretch>
                  </pic:blipFill>
                  <pic:spPr>
                    <a:xfrm>
                      <a:off x="0" y="0"/>
                      <a:ext cx="5577840" cy="2258217"/>
                    </a:xfrm>
                    <a:prstGeom prst="rect"/>
                  </pic:spPr>
                </pic:pic>
              </a:graphicData>
            </a:graphic>
          </wp:inline>
        </w:drawing>
      </w:r>
    </w:p>
    <w:p>
      <w:pPr>
        <w:jc w:val="center"/>
      </w:pPr>
      <w:r>
        <w:t>Figura 2. Despesa empenhada por habitante em reais de 2024, após atualização pelo IPCA. Fonte: arquivos FINBRA/SICONFI fornecidos; população embutida na exportação FINBRA, harmonizada entre receitas e despesas; IPCA anual; cálculos próprios. A população ainda não foi certificada como série anual definitiva do IBGE.</w:t>
      </w:r>
    </w:p>
    <w:p>
      <w:pPr>
        <w:pStyle w:val="FirstParagraph"/>
      </w:pPr>
      <w:r>
        <w:t>Com os totais de despesa empenhada extraídos dos CSVs FINBRA, o IPCA anual e a população indicada nos mesmos arquivos FINBRA, a despesa por habitante em reais de 2024 foi recalculada com um denominador uniforme dentro de cada município-ano. Os valores de referência e percentuais de variação devem ser lidos na base analítica atualizada. Eles permanecem preliminares quanto à versão retificada da DCA/SICONFI e à escolha definitiva da série demográfica anual; não demonstram efeitos causais.</w:t>
      </w:r>
    </w:p>
    <w:p>
      <w:pPr>
        <w:pStyle w:val="BodyText"/>
      </w:pPr>
      <w:r>
        <w:t>A série em reais de 2024 apresenta oscilações anuais, inclusive elevação da despesa por habitante em 2022 e diferenças entre municípios. O movimento não deve ser atribuído automaticamente às transferências: para isso seria necessário decompor receitas próprias e transferências, verificar a composição do gasto e estimar uma estratégia de identificação. A série agregada serve para descrever a trajetória do gasto, não para testar causalmente o efeito flypaper.</w:t>
      </w:r>
    </w:p>
    <w:p>
      <w:pPr>
        <w:pStyle w:val="BodyText"/>
      </w:pPr>
      <w:r>
        <w:t>A diferença entre municípios varia ao longo do período. Em 2024, a despesa empenhada por habitante, em preços de 2024, foi de aproximadamente R$ 3.754 em Castanhal e R$ 3.727 em Abaetetuba, diferença de cerca de R$ 27, usando a população embutida nos arquivos FINBRA recebidos. Diferenças podem refletir estrutura econômica, composição demográfica, serviços prestados, transferências e práticas de registro, não apenas eficiência fiscal.</w:t>
      </w:r>
    </w:p>
    <w:bookmarkEnd w:id="32"/>
    <w:bookmarkStart w:id="33" w:name="contexto-macrofiscal-da-nigéria"/>
    <w:p>
      <w:pPr>
        <w:pStyle w:val="Heading3"/>
      </w:pPr>
      <w:r>
        <w:t xml:space="preserve">4.2 Contexto macrofiscal da Nigéria</w:t>
      </w:r>
    </w:p>
    <w:p>
      <w:pPr>
        <w:pStyle w:val="FirstParagraph"/>
      </w:pPr>
      <w:r>
        <w:t xml:space="preserve">Na série histórica consultada do FMI/FRED, a receita do governo geral da Nigéria varia de 3,63% do PIB em 2016 a 9,89% em 2024. O comportamento sugere oscilação e aumento no final da janela, mas a interpretação deve respeitar as revisões de dados e a definição da série. Um relatório Article IV do FMI de 2026 apresenta estimativas diferentes para 2024 e valores para 2025–2026, alguns dos quais são estimativas ou projeções. Esses números são mantidos em arquivo separado, em vez de serem unidos artificialmente a uma série histórica com definição/vintage potencialmente diferente.</w:t>
      </w:r>
    </w:p>
    <w:p>
      <w:pPr>
        <w:pStyle w:val="BodyText"/>
      </w:pPr>
      <w:r>
        <w:t xml:space="preserve">A receita como proporção do PIB é um indicador agregado da capacidade de mobilização de recursos do governo geral. Não mede diretamente a autonomia fiscal dos governos locais nigerianos e não é comparável, em nível, com a despesa municipal por habitante no Pará. Sua utilidade é contextualizar a importância da mobilização de receita e da distribuição intergovernamental em uma federação com estrutura fiscal distinta.</w:t>
      </w:r>
    </w:p>
    <w:bookmarkEnd w:id="33"/>
    <w:bookmarkStart w:id="34" w:name="X4c46e669b715058e1a1f088ad6a9433f9cdd123"/>
    <w:p>
      <w:pPr>
        <w:pStyle w:val="Heading3"/>
      </w:pPr>
      <w:r>
        <w:t xml:space="preserve">4.3 O que os dados permitem — e o que não permitem — concluir</w:t>
      </w:r>
    </w:p>
    <w:p>
      <w:pPr>
        <w:pStyle w:val="FirstParagraph"/>
      </w:pPr>
      <w:r>
        <w:t>Os dados permitem descrever trajetórias de despesa empenhada por habitante em reais de 2024, calculadas a partir dos CSVs FINBRA/SICONFI fornecidos, do IPCA anual e da população indicada nos mesmos arquivos FINBRA. A população foi harmonizada internamente entre exportações de receita e despesa, mas não foi certificada como a série anual definitiva do IBGE; as declarações também não foram reconciliadas com as versões retificadas da DCA/SICONFI. Não permitem afirmar expansão real de serviços, melhora de eficiência, aumento causal decorrente de transferências ou presença do efeito flypaper.</w:t>
      </w:r>
    </w:p>
    <w:bookmarkEnd w:id="34"/>
    <w:bookmarkEnd w:id="35"/>
    <w:bookmarkStart w:id="36" w:name="conclusão"/>
    <w:p>
      <w:pPr/>
      <w:r>
        <w:t>A agenda futura mais importante é completar a reconciliação oficial dos dados fiscais, documentar todas as alterações, ampliar a desagregação das transferências e incorporar indicadores de resultados públicos. Com base mais ampla, seria possível formular testes empíricos mais rigorosos, mas apenas se houver variação identificadora e pressupostos plausíveis. Até lá, a conclusão responsável é descritiva: a literatura fornece mecanismos para orientar a interpretação, enquanto os dados atuais não demonstram causalidade, ilusão fiscal ou efeito flypaper nos dois municípios.</w:t>
      </w:r>
    </w:p>
    <w:p>
      <w:pPr/>
      <w:r>
        <w:t>No componente fiscal, os cálculos preliminares de despesa empenhada por habitante permitem observar trajetórias em valores atualizados pelo IPCA, mas dependem de validação externa das versões SICONFI/FINBRA. A série da Nigéria, por sua vez, é de governo geral e expressa receita em relação ao PIB; ela não constitui uma terceira unidade municipal nem um grupo de controle. Manter essas fronteiras explícitas é parte da contribuição metodológica do trabalho.</w:t>
      </w:r>
    </w:p>
    <w:p>
      <w:pPr/>
      <w:r>
        <w:t>A bibliometria oferece uma descrição do corpus selecionado: 80 registros, 47 fontes, 139 autores e 2.827 referências citadas, entre 1978 e 2024. Esses indicadores ajudam a caracterizar a amostra e a localizar temas centrais, mas não substituem leitura crítica dos estudos nem representam automaticamente toda a literatura mundial. A própria classificação da exportação — 79 registros Article e um Review — deve permanecer visível para que a contagem não seja apresentada de modo ambíguo.</w:t>
      </w:r>
    </w:p>
    <w:p>
      <w:pPr/>
      <w:r>
        <w:t>A literatura sugere que as transferências podem afetar despesas e incentivos de arrecadação, mas os efeitos variam conforme a fórmula de distribuição, a vinculação, a capacidade administrativa e o contexto político. O efeito flypaper é uma hipótese sobre a resposta relativa da despesa; a ilusão fiscal diz respeito à percepção do custo público. Embora possam interagir, nenhum dos dois mecanismos pode ser inferido apenas da participação das transferências ou do crescimento da despesa empenhada.</w:t>
      </w:r>
    </w:p>
    <w:p>
      <w:pPr/>
      <w:r>
        <w:t>O trabalho articula uma revisão temática e bibliométrica sobre transferências intergovernamentais, efeito flypaper, ilusão fiscal e federalismo fiscal com uma exploração descritiva de dados de Castanhal e Abaetetuba e um indicador macrofiscal agregado da Nigéria. A análise foi deliberadamente limitada àquilo que os arquivos e metadados permitem sustentar. Essa escolha é relevante porque comparações fiscais podem parecer conclusivas quando misturam conceitos, versões de dados, estágios orçamentários ou unidades institucionais incompatíveis.</w:t>
      </w:r>
    </w:p>
    <w:p>
      <w:pPr>
        <w:pStyle w:val="Heading2"/>
      </w:pPr>
      <w:r>
        <w:t>7. Considerações finais ampliadas</w:t>
      </w:r>
    </w:p>
    <w:p>
      <w:pPr/>
      <w:r>
        <w:t>Em termos de agenda, uma investigação posterior poderia conectar três níveis de evidência: a estrutura institucional das transferências, os registros de execução fiscal e os resultados percebidos ou observados dos serviços. A ligação entre esses níveis permitiria formular hipóteses mais completas sem pressupor que maior despesa seja automaticamente melhor ou pior. Essa extensão exigiria dados mais ricos, critérios de comparabilidade definidos previamente e uma estratégia empírica que pudesse ser avaliada por outros pesquisadores. O presente trabalho fornece uma organização conceitual e um ponto de partida auditável para essa sequência.</w:t>
      </w:r>
    </w:p>
    <w:p>
      <w:pPr/>
      <w:r>
        <w:t>Para a pesquisa acadêmica, o artigo reforça que a qualidade da pergunta precede a escolha do método. Um painel maior não resolve automaticamente endogeneidade; uma série temporal não identifica causalidade por si só; e uma bibliometria não substitui revisão crítica. A escolha do método deve partir do mecanismo teórico e da variação observável nos dados. Se a hipótese é sobre percepção dos cidadãos, a unidade de análise e as medidas devem incluir essa percepção. Se a hipótese é sobre resposta marginal do gasto a transferências, o desenho precisa distinguir esse efeito da resposta a renda privada e de choques concomitantes.</w:t>
      </w:r>
    </w:p>
    <w:p>
      <w:pPr/>
      <w:r>
        <w:t>Para os formuladores de políticas, a transparência deve permitir que cidadãos e órgãos de controle distingam de onde vêm os recursos, em que rubricas são aplicados e em que estágio a despesa se encontra. Painéis públicos que misturam orçamento autorizado, empenho, liquidação e pagamento podem gerar interpretações equivocadas. A documentação de séries, a publicação de metadados e a explicação de revisões contribuem para accountability e para a qualidade do debate. A transparência, contudo, não substitui auditoria: números acessíveis precisam continuar vinculados a registros oficiais, conceitos consistentes e trilhas de reprodução.</w:t>
      </w:r>
    </w:p>
    <w:p>
      <w:pPr/>
      <w:r>
        <w:t>Do ponto de vista da gestão, a principal implicação é que decisões sobre transferências e arrecadação devem ser avaliadas com base em indicadores complementares. A dependência de repasses pode ser um sinal de fragilidade da base própria, mas também pode refletir a distribuição constitucional de competências e a necessidade de equalização. Uma recomendação de ampliar arrecadação própria precisa considerar os custos administrativos, a capacidade contributiva da população e a qualidade dos cadastros. Aumentar tributos sem avaliar incidência e capacidade de pagamento não é equivalente a melhorar a administração fiscal; da mesma forma, reduzir transferências sem considerar as necessidades locais pode ampliar desigualdades de provisão.</w:t>
      </w:r>
    </w:p>
    <w:p>
      <w:pPr>
        <w:pStyle w:val="Heading3"/>
      </w:pPr>
      <w:r>
        <w:t>6.9 Implicações para a gestão pública e para o debate acadêmico</w:t>
      </w:r>
    </w:p>
    <w:p>
      <w:pPr/>
      <w:r>
        <w:t>O produto final deve ser lido como uma base de pesquisa que combina teoria, organização bibliográfica e diagnóstico de dados. A próxima etapa não é necessariamente adicionar modelos econométricos, mas garantir que os dados utilizados possam ser rastreados até a fonte oficial, que as definições sejam estáveis e que cada transformação seja reproduzível. Só depois dessa etapa será possível decidir se a pergunta substantiva deve ser respondida por estatística descritiva, painel, descontinuidade, experimento ou outra estratégia compatível com a fonte de variação disponível.</w:t>
      </w:r>
    </w:p>
    <w:p>
      <w:pPr/>
      <w:r>
        <w:t>A contribuição não é demonstrar que o efeito flypaper existe nos municípios estudados, tampouco provar que a ilusão fiscal orienta decisões de gasto. O estudo também não avalia a eficiência relativa das administrações municipais nem produz um ranking entre Castanhal, Abaetetuba e Nigéria. Tais conclusões exigiriam bases adicionais e estratégias empíricas próprias. Delimitar o objetivo não reduz a relevância do trabalho; impede que a descrição seja convertida indevidamente em evidência causal.</w:t>
      </w:r>
    </w:p>
    <w:p>
      <w:pPr/>
      <w:r>
        <w:t>A contribuição central é combinar uma organização temática da literatura com uma análise fiscal exploratória que explicita o alcance dos indicadores. A revisão apresenta mecanismos que podem conectar transferências, gasto, arrecadação e percepção dos contribuintes. A bibliometria descreve a composição e as características do corpus. A análise municipal mostra como uma medida de despesa pode ser transformada em valores reais e por habitante. O contexto nigeriano demonstra a necessidade de especificar o nível de governo e o perímetro da receita. Cada componente responde a uma pergunta distinta, e a força do artigo depende de manter essas funções separadas.</w:t>
      </w:r>
    </w:p>
    <w:p>
      <w:pPr>
        <w:pStyle w:val="Heading3"/>
      </w:pPr>
      <w:r>
        <w:t>6.8 Síntese das contribuições e limites do artigo</w:t>
      </w:r>
    </w:p>
    <w:p>
      <w:pPr/>
      <w:r>
        <w:t>Também é necessário distinguir o ano fiscal do ano de publicação. Uma base consultada em 2026 pode conter observações de exercícios anteriores que foram revisadas, enquanto uma publicação recente pode descrever dados mais antigos. A data de acesso informa quando o pesquisador consultou a fonte; não significa que todos os dados tenham sido produzidos naquele ano. Para séries sujeitas a revisão, guardar a data de extração e a versão consultada permite reconstruir a análise e explicar eventuais diferenças em trabalhos futuros.</w:t>
      </w:r>
    </w:p>
    <w:p>
      <w:pPr/>
      <w:r>
        <w:t>A conversão para valores reais resolve apenas parte da comparabilidade temporal. O IPCA corrige variações gerais do nível de preços no Brasil, mas não converte estruturas de custo locais em uma unidade física comum. Da mesma forma, deflacionar uma série monetária de outro país não a torna comparável em termos de poder de compra com valores brasileiros. Para uma comparação internacional de níveis, seria necessário considerar taxas de câmbio ou paridade de poder de compra e, ainda assim, harmonizar a cobertura institucional e as definições. O presente estudo não realiza essa operação e não deve sugerir que o faz.</w:t>
      </w:r>
    </w:p>
    <w:p>
      <w:pPr/>
      <w:r>
        <w:t>A comparabilidade também depende do nível institucional. A prefeitura é uma unidade subnacional com competências, obrigações e fontes de receita próprias. A série de governo geral da Nigéria agrega diferentes níveis de governo segundo uma definição estatística. A diferença de escala não é o único problema: a cobertura do setor público, a consolidação de transferências internas, o regime de caixa ou competência e o tratamento de empresas públicas podem ser diferentes. Por isso, uma razão como receita/PIB pode ser comparada conceitualmente como indicador de mobilização de recursos, mas não permite concluir que um município tenha maior ou menor capacidade fiscal do que o país.</w:t>
      </w:r>
    </w:p>
    <w:p>
      <w:pPr/>
      <w:r>
        <w:t>Um risco recorrente na análise de finanças públicas é presumir que séries com nomes semelhantes representam o mesmo conceito. A classificação contábil pode mudar ao longo do tempo; uma rubrica pode ser agregada em determinado exercício e desagregada em outro; e diferentes demonstrativos podem apresentar valores distintos porque atendem a finalidades legais diferentes. A solução não é escolher automaticamente o maior ou o menor valor, mas mapear os conceitos, documentar as quebras e decidir se existe correspondência suficiente para construir uma série harmonizada. Quando não existe, a limitação deve ser apresentada e a comparação interrompida.</w:t>
      </w:r>
    </w:p>
    <w:p>
      <w:pPr>
        <w:pStyle w:val="Heading3"/>
      </w:pPr>
      <w:r>
        <w:t>6.7 Riscos de comparabilidade entre séries e unidades institucionais</w:t>
      </w:r>
    </w:p>
    <w:p>
      <w:pPr/>
      <w:r>
        <w:t>A clareza dessa fronteira aumenta a utilidade do trabalho para pesquisas posteriores. Em vez de forçar uma conclusão mais forte do que os dados suportam, a versão atual estabelece a estrutura conceitual, identifica as variáveis que faltam e documenta o processo necessário para obtê-las. A pesquisa futura pode, então, avançar por etapas: primeiro a validação dos dados; depois a ampliação de variáveis e unidades; em seguida a definição de uma estratégia de identificação; e, por último, a interpretação dos resultados à luz da literatura.</w:t>
      </w:r>
    </w:p>
    <w:p>
      <w:pPr/>
      <w:r>
        <w:t>Essa matriz também ajuda a separar os resultados atuais dos resultados possíveis em uma extensão. No presente trabalho, a despesa real por habitante e a série de receita da Nigéria permitem descrição temporal. A participação de transferências e a evolução da arrecadação própria não podem ser concluídas com o mesmo grau de confiança enquanto a reconciliação das rubricas não estiver completa. A eficiência não é estimada porque não há conjunto harmonizado de produtos e custos. A ilusão fiscal não é testada porque não há medidas de percepção. O efeito flypaper não é estimado porque não há contrafactual de renda privada nem desenho causal.</w:t>
      </w:r>
    </w:p>
    <w:p>
      <w:pPr/>
      <w:r>
        <w:t>Para evitar que um indicador seja usado como substituto de outro, a análise pode ser organizada por perguntas. Para descrever a escala orçamentária, utiliza-se despesa empenhada em valores reais; para comparar ordens de grandeza entre municípios, despesa real por habitante; para observar composição, participações de receitas próprias e transferências; para examinar esforço fiscal, indicadores de arrecadação própria acompanhados de informações sobre base tributária e capacidade administrativa; para estudar eficiência, indicadores de insumo e produto; para testar ilusão fiscal, medidas de percepção ou informação; e para testar flypaper, uma comparação identificada entre respostas do gasto a transferências e a renda privada.</w:t>
      </w:r>
    </w:p>
    <w:p>
      <w:pPr>
        <w:pStyle w:val="Heading3"/>
      </w:pPr>
      <w:r>
        <w:t>6.6 Matriz de perguntas, indicadores e inferências possíveis</w:t>
      </w:r>
    </w:p>
    <w:p>
      <w:pPr/>
      <w:r>
        <w:t>A apresentação de limitações não enfraquece o trabalho quando elas são delimitadas e acompanhadas de um plano verificável. Ao contrário, ela permite que o leitor saiba quais conclusões são robustas dentro do material disponível e quais dependem de validação adicional. Neste caso, a principal limitação não é a ausência de uma regressão complexa, mas o fato de que os dados fiscais ainda precisam de reconciliação externa final e de que os indicadores disponíveis não identificam diretamente os mecanismos teóricos centrais.</w:t>
      </w:r>
    </w:p>
    <w:p>
      <w:pPr/>
      <w:r>
        <w:t>No componente bibliométrico, a mesma lógica exige conservar a exportação original, o arquivo importado pelo Bibliometrix, os scripts, as tabelas produzidas e o resumo de parâmetros. A limpeza de nomes e palavras-chave deve ser documentada, pois decisões de unificação afetam frequências e redes. Uma figura final sem os dados de origem e sem o script não é suficiente para reprodução independente. A transparência sobre o que não foi validado é tão importante quanto a documentação do que foi executado.</w:t>
      </w:r>
    </w:p>
    <w:p>
      <w:pPr/>
      <w:r>
        <w:t>A separação entre dados brutos e tratados é especialmente importante. O arquivo bruto deve preservar os valores como recebidos, sem correções manuais que não possam ser rastreadas. O arquivo tratado deve apresentar transformações reproduzíveis e manter uma ligação com os registros de origem, por meio de identificadores, nomes de variáveis ou uma tabela de correspondência. O dicionário deve explicar o significado substantivo de cada campo, e o log de alterações deve registrar inclusões, exclusões, recodificações e correções.</w:t>
      </w:r>
    </w:p>
    <w:p>
      <w:pPr/>
      <w:r>
        <w:t>A reprodutibilidade não se limita a entregar um arquivo de dados. Um pacote reproduzível deve indicar o nome e a versão do arquivo original, o órgão responsável, o endereço de consulta, a data de extração, as variáveis selecionadas, as unidades, os filtros e as fórmulas. Quando a fonte permite versões ou retificações, deve-se registrar qual versão foi utilizada. Quando uma transformação depende de um deflator, a série do deflator e a base de preços precisam acompanhar os dados tratados.</w:t>
      </w:r>
    </w:p>
    <w:p>
      <w:pPr>
        <w:pStyle w:val="Heading3"/>
      </w:pPr>
      <w:r>
        <w:t>6.5 Transparência e reprodutibilidade como parte do resultado</w:t>
      </w:r>
    </w:p>
    <w:p>
      <w:pPr/>
      <w:r>
        <w:t>A quarta condição é distinguir associação temporal de efeito causal. Se duas séries sobem no mesmo período, isso pode decorrer de uma relação substantiva, de um choque comum, de inflação, de mudanças populacionais ou de uma terceira variável. A inferência causal requer um desenho que identifique uma fonte plausivelmente exógena de variação e explicite seus pressupostos. A análise presente não satisfaz esses requisitos, de modo que os verbos adequados são “descrever”, “coincidir”, “variar junto” e “ser compatível com”, e não “causar”, “determinar” ou “produzir efeito” quando não há identificação.</w:t>
      </w:r>
    </w:p>
    <w:p>
      <w:pPr/>
      <w:r>
        <w:t>A terceira condição é preservar as ausências e as revisões. Uma célula sem dado não significa valor zero; significa que a informação não foi encontrada, não foi publicada, não se aplica ou ainda não foi reconciliada. Preencher lacunas com zero pode distorcer médias, taxas de crescimento e gráficos. Da mesma forma, substituir silenciosamente uma versão antiga por uma revisada impede reconstruir a análise. O registro de alterações deve informar a origem da revisão, a data, a fórmula afetada e a razão para a decisão.</w:t>
      </w:r>
    </w:p>
    <w:p>
      <w:pPr/>
      <w:r>
        <w:t>A segunda condição é explicitar o denominador. Valores absolutos respondem à pergunta sobre a escala do orçamento, enquanto valores por habitante aproximam a disponibilidade média de recursos por pessoa. Participações percentuais respondem à pergunta sobre composição e índices temporais mostram variação relativa a um ano-base. Nenhuma dessas medidas é universalmente superior: a escolha deve decorrer da pergunta. Por exemplo, o crescimento de uma despesa agregada pode coexistir com estabilidade ou redução per capita quando a população aumenta, e a participação de uma receita pode cair mesmo quando seu valor real cresce, se outras receitas crescerem mais rapidamente.</w:t>
      </w:r>
    </w:p>
    <w:p>
      <w:pPr/>
      <w:r>
        <w:t>A leitura responsável começa pela identificação do que foi efetivamente medido. Uma rubrica de despesa empenhada não deve ser descrita como gasto pago; receita bruta não deve ser tratada como receita disponível; receita tributária própria não equivale à totalidade das receitas próprias; e receita do governo geral como proporção do PIB não representa arrecadação municipal. A precisão terminológica não é apenas formal. Cada indicador responde a uma pergunta distinta e pode levar a conclusões diferentes se for interpretado fora de seu perímetro.</w:t>
      </w:r>
    </w:p>
    <w:p>
      <w:pPr>
        <w:pStyle w:val="Heading3"/>
      </w:pPr>
      <w:r>
        <w:t>6.4 Critérios para leitura responsável dos resultados</w:t>
      </w:r>
    </w:p>
    <w:p>
      <w:pPr/>
      <w:r>
        <w:t>Por fim, um estudo específico de ilusão fiscal poderia combinar dados orçamentários com indicadores de transparência e informação dos cidadãos. Pesquisas de opinião, experimentos informacionais ou medidas de conhecimento sobre fontes de financiamento ajudariam a observar o mecanismo perceptivo que a contabilidade não capta. Para estudar eficiência, seriam necessários outputs de serviço e indicadores de qualidade; para estimar flypaper, seria preciso definir o contrafactual entre transferências e renda privada. Cada extensão deve responder a uma pergunta precisa e evitar usar um indicador como substituto de outro.</w:t>
      </w:r>
    </w:p>
    <w:p>
      <w:pPr/>
      <w:r>
        <w:t>Outra extensão seria desagregar transferências por modalidade e vinculação. A hipótese de que uma transferência tem resposta diferente de outra não pode ser examinada com um único agregado. A classificação deveria distinguir transferências constitucionais, legais, voluntárias, correntes e de capital sempre que os demonstrativos permitirem. Essa separação ajudaria a identificar se a composição dos repasses acompanha mudanças de despesa e de receita própria, sem prometer inferência causal na ausência de estratégia de identificação.</w:t>
      </w:r>
    </w:p>
    <w:p>
      <w:pPr/>
      <w:r>
        <w:t>Uma extensão viável seria ampliar a amostra para municípios paraenses de características semelhantes, com critérios definidos antes da análise — população, estrutura econômica, localização regional ou capacidade tributária. Um painel mais amplo aumentaria a variação observável e permitiria controlar fatores comuns, embora ainda exigisse atenção à endogeneidade e à comparabilidade. A inclusão de municípios não deve ser feita apenas para aumentar o número de observações: os critérios de seleção precisam corresponder à pergunta de pesquisa.</w:t>
      </w:r>
    </w:p>
    <w:p>
      <w:pPr>
        <w:pStyle w:val="Heading3"/>
      </w:pPr>
      <w:r>
        <w:t>6.3 Agenda de pesquisa futura</w:t>
      </w:r>
    </w:p>
    <w:p>
      <w:pPr/>
      <w:r>
        <w:t>O próximo estágio empírico deveria consolidar, para cada município e ano, as receitas tributárias próprias, transferências da União, transferências do estado, despesas empenhadas, liquidadas e pagas, população e, se possível, indicadores de serviço. As rubricas precisam ser extraídas com classificações comparáveis e metadados explícitos. Somente depois dessa consolidação seria adequado analisar participação de transferências, variação da receita própria e co-movimento entre receita e despesa. Mesmo nesse cenário, uma associação temporal não equivaleria automaticamente a causalidade.</w:t>
      </w:r>
    </w:p>
    <w:p>
      <w:pPr/>
      <w:r>
        <w:t>Também é necessário preservar a distinção entre receita bruta, deduções, receita líquida, receita corrente líquida e transferências. Esses conceitos não são intercambiáveis. Uma diferença entre o total calculado a partir de categorias FINBRA e um total de outro demonstrativo pode decorrer de perímetro, classificação ou estágio, e não necessariamente de erro aritmético. O procedimento de reconciliação deve registrar a rubrica, a fórmula, a origem e a justificativa para cada ajuste, sem apagar a versão anterior.</w:t>
      </w:r>
    </w:p>
    <w:p>
      <w:pPr/>
      <w:r>
        <w:t>A conferência interna identificou registros de despesa empenhada para as combinações município-ano cobertas pelos CSVs recebidos. Isso comprova que os arquivos contêm observações utilizáveis para o cálculo preliminar, mas não comprova, por si só, que cada observação corresponde à última versão homologada ou retificada. A validação externa exige confrontar exercício, município, demonstrativo, coluna, unidade monetária, situação de entrega e data de extração com os registros oficiais do SICONFI.</w:t>
      </w:r>
    </w:p>
    <w:p>
      <w:pPr>
        <w:pStyle w:val="Heading3"/>
      </w:pPr>
      <w:r>
        <w:t>6.2 Limitações da base fiscal e próximos passos de auditoria</w:t>
      </w:r>
    </w:p>
    <w:p>
      <w:pPr/>
      <w:r>
        <w:t>O cálculo per capita é realizado dividindo a despesa real pela população indicada para o mesmo município e ano. Essa operação é simples, mas sua qualidade depende do denominador. Estimativas populacionais, resultados censitários e revisões posteriores podem produzir quebras de série. A utilização da população presente nos arquivos FINBRA favorece a consistência interna do cálculo atual, embora a versão definitiva deva documentar diferenças em relação às estimativas do IBGE e justificar a escolha do denominador.</w:t>
      </w:r>
    </w:p>
    <w:p>
      <w:pPr/>
      <w:r>
        <w:t>A transformação para preços de 2024 torna os montantes de anos diferentes mais comparáveis em termos de poder de compra doméstico, mas não resolve diferenças de necessidades, estrutura de custos ou composição do gasto. O IPCA é um índice geral de preços ao consumidor; não é um deflator específico da cesta de custos municipais. A interpretação correta é que os valores foram atualizados por um índice geral, não que o custo real de cada serviço municipal tenha sido medido com exatidão.</w:t>
      </w:r>
    </w:p>
    <w:p>
      <w:pPr/>
      <w:r>
        <w:t>A série de despesa empenhada por habitante foi construída com os arquivos FINBRA recebidos, atualização pelo IPCA e população registrada nesses mesmos arquivos. O uso de uma fonte consistente para numerador e denominador reduz o risco de misturar populações de bases distintas, mas não elimina revisões, diferenças de cobertura ou a necessidade de conferir os valores com a versão final do SICONFI. Os resultados devem ser lidos como série preliminar auditável, e não como estimativa oficial imutável.</w:t>
      </w:r>
    </w:p>
    <w:p>
      <w:pPr>
        <w:pStyle w:val="Heading3"/>
      </w:pPr>
      <w:r>
        <w:t>6.1 Interpretação dos indicadores disponíveis</w:t>
      </w:r>
    </w:p>
    <w:p>
      <w:pPr>
        <w:pStyle w:val="Heading2"/>
      </w:pPr>
      <w:r>
        <w:t>6. Implicações para a análise fiscal de Castanhal e Abaetetuba</w:t>
      </w:r>
    </w:p>
    <w:p>
      <w:pPr/>
      <w:r>
        <w:t>A divergência mais importante está na forma de identificar mecanismos. Estudos que exploram descontinuidades de regras, choques exógenos, painéis mais amplos ou dados de percepção podem sustentar conclusões mais fortes do que comparações descritivas de poucos casos. Isso não torna a análise descritiva irrelevante: ela é útil para auditar bases, mostrar trajetórias, detectar rupturas e formular hipóteses. Seu valor depende de não ultrapassar o que o desenho permite concluir.</w:t>
      </w:r>
    </w:p>
    <w:p>
      <w:pPr/>
      <w:r>
        <w:t>A principal convergência entre os eixos é a rejeição de explicações monocausais. O crescimento da despesa pode refletir transferências, mudanças na renda, necessidades locais, inflação, decisões políticas ou alterações de registro. O aumento da arrecadação própria pode decorrer de esforço fiscal, expansão da base econômica, atualização cadastral ou mudança de classificação. A persistência de transferências pode indicar dependência fiscal, mas também cumprir função redistributiva. O trabalho adota, assim, uma interpretação condicionada e distingue resultados diretamente observados de mecanismos apenas plausíveis.</w:t>
      </w:r>
    </w:p>
    <w:p>
      <w:pPr/>
      <w:r>
        <w:t>O primeiro eixo, efeito flypaper, concentra-se na resposta relativa do gasto a transferências e renda privada. O segundo, ilusão fiscal, investiga visibilidade e percepção do preço dos serviços. O terceiro, autonomia tributária, aborda incentivos de arrecadação e capacidade administrativa. O quarto, federalismo fiscal comparado, examina a distribuição de competências e a equalização territorial. O quinto, resultados e eficiência, questiona se os recursos se convertem em serviços. O sexto, métodos empíricos, trata dos pressupostos necessários para atribuir efeitos causais. Esses eixos se sobrepõem, mas cada um exige evidências próprias.</w:t>
      </w:r>
    </w:p>
    <w:p>
      <w:pPr>
        <w:pStyle w:val="Heading3"/>
      </w:pPr>
      <w:r>
        <w:t>5.8 Síntese crítica dos eixos temáticos</w:t>
      </w:r>
    </w:p>
    <w:p>
      <w:pPr/>
      <w:r>
        <w:t>Uma revisão bibliométrica bem delimitada deve documentar base consultada, data de extração, estratégia de busca, critérios de inclusão e exclusão, campos exportados e tratamento de duplicatas. Quando o corpus é uma seleção temática intencional, a conclusão correta é descrever a amostra analisada. Não é correto inferir que as frequências representam a produção mundial ou que a ausência de um tema na amostra prova ausência de pesquisa naquele tema.</w:t>
      </w:r>
    </w:p>
    <w:p>
      <w:pPr/>
      <w:r>
        <w:t>O uso do Bibliometrix/Biblioshiny facilita a produção de estatísticas descritivas e mapas de ciência, mas a interpretação depende da qualidade dos metadados e das decisões de limpeza. Variações de grafia de autores, títulos, nomes de periódicos e palavras-chave podem dividir registros que deveriam ser agrupados. A exportação também pode incluir documentos com diferentes tipos bibliográficos. Neste caso, os metadados classificam 79 registros como Article e um como Review. Por isso, o texto distingue explicitamente 80 registros bibliométricos de 80 artigos de pesquisa integralmente lidos; a equivalência não é presumida.</w:t>
      </w:r>
    </w:p>
    <w:p>
      <w:pPr/>
      <w:r>
        <w:t>A presença de Public Choice, Journal of Public Economics e Publius: The Journal of Federalism entre as fontes mais frequentes indica que o corpus conecta economia política, economia pública e estudos de federalismo. As palavras-chave mais recorrentes — incluindo flypaper effect, intergovernmental transfers, fiscal federalism e fiscal illusion — refletem a interseção temática definida pela busca. Frequência, porém, não equivale a qualidade, impacto causal ou consenso científico. Uma palavra-chave pode ser comum porque é central à seleção do corpus, e uma publicação muito citada pode ser influente sem resolver todas as controvérsias.</w:t>
      </w:r>
    </w:p>
    <w:p>
      <w:pPr/>
      <w:r>
        <w:t>A bibliometria organiza características observáveis de um conjunto de publicações, como ano, periódico, autoria, palavras-chave e referências citadas. No corpus utilizado, os 80 registros se distribuem por 47 fontes, incluem 139 autores e acumulam 2.827 referências citadas nos metadados. A janela temporal vai de 1978 a 2024. Esses números descrevem a amostra selecionada e não devem ser tratados como retrato censitário de toda a produção científica sobre federalismo fiscal, transferências ou ilusão fiscal.</w:t>
      </w:r>
    </w:p>
    <w:p>
      <w:pPr>
        <w:pStyle w:val="Heading3"/>
      </w:pPr>
      <w:r>
        <w:t>5.7 O que a bibliometria acrescenta à revisão</w:t>
      </w:r>
    </w:p>
    <w:p>
      <w:pPr/>
      <w:r>
        <w:t>O estágio da despesa também importa. Despesa empenhada representa compromisso orçamentário, enquanto despesa liquidada se associa à verificação do direito do credor e despesa paga corresponde ao desembolso. Somar os estágios produziria dupla contagem. Além disso, empenho anual pode refletir cronograma de execução, restos a pagar e investimentos plurianuais. Para comparar execução e disponibilidade de recursos, os estágios precisam permanecer separados e as diferenças de cobertura devem ser documentadas.</w:t>
      </w:r>
    </w:p>
    <w:p>
      <w:pPr/>
      <w:r>
        <w:t>Estudos de eficiência local, como Afonso e Fernandes (2006) e Adam, Delis e Kammas (2014), recorrem a estratégias e indicadores que procuram relacionar insumos e produtos. Esses trabalhos não são diretamente replicados aqui. Para fazê-lo, seria necessário definir outputs comparáveis — por exemplo, cobertura e qualidade de serviços —, considerar preços e características ambientais, e garantir consistência temporal entre despesas e resultados. A simples divisão da despesa empenhada pela população não satisfaz esses requisitos.</w:t>
      </w:r>
    </w:p>
    <w:p>
      <w:pPr/>
      <w:r>
        <w:t>A despesa pública é um insumo, não uma medida direta de eficiência ou bem-estar. Um município pode gastar mais por habitante porque enfrenta custos de provisão superiores, atende população com necessidades mais intensas, investe em infraestrutura ou registra despesas concentradas em um exercício. De modo inverso, despesa relativamente baixa pode refletir eficiência, mas também suboferta de serviços ou baixa capacidade de execução. Sem indicadores de produto e qualidade, a interpretação do gasto deve permanecer descritiva.</w:t>
      </w:r>
    </w:p>
    <w:p>
      <w:pPr>
        <w:pStyle w:val="Heading3"/>
      </w:pPr>
      <w:r>
        <w:t>5.6 Gasto público, eficiência e resultados de serviços</w:t>
      </w:r>
    </w:p>
    <w:p>
      <w:pPr/>
      <w:r>
        <w:t>A função da Nigéria neste estudo é, portanto, contextual. O país ajuda a demonstrar que a análise de federalismo fiscal precisa especificar o nível de governo, o perímetro contábil e a origem da receita. A comparação não é usada para produzir ranking, inferir superioridade institucional ou atribuir causalidade. Essa escolha reduz a ambição comparativa, mas aumenta a precisão da interpretação.</w:t>
      </w:r>
    </w:p>
    <w:p>
      <w:pPr/>
      <w:r>
        <w:t>A série de receita do governo geral da Nigéria expressa como proporção do PIB deve ser interpretada como indicador agregado de mobilização de recursos, não como receita municipal ou medida direta de transferências recebidas pelos governos locais. A proporção pode variar por mudanças na receita, no PIB nominal, na composição da economia, nos preços internacionais e na metodologia estatística. Sem uma série harmonizada de transferências e despesa dos governos locais nigerianos, não há base para comparar o comportamento fiscal local dos dois países.</w:t>
      </w:r>
    </w:p>
    <w:p>
      <w:pPr/>
      <w:r>
        <w:t>A Nigéria oferece um contraste institucional relevante para discutir a dependência de receitas distribuídas entre níveis de governo e os desafios de mobilização de receitas próprias. Phillips (1991), Akindele, Olaopa e Obiyan (2002) e Olofin et al. (2012) destacam aspectos da repartição de receitas, da dependência de alocações estatutárias e da heterogeneidade entre unidades subnacionais. Esse contexto não é equivalente ao brasileiro: a estrutura federativa, a composição das receitas, a dependência histórica de petróleo e a capacidade administrativa possuem trajetórias específicas.</w:t>
      </w:r>
    </w:p>
    <w:p>
      <w:pPr>
        <w:pStyle w:val="Heading3"/>
      </w:pPr>
      <w:r>
        <w:t>5.5 O caso da Nigéria como contexto, não como grupo de controle</w:t>
      </w:r>
    </w:p>
    <w:p>
      <w:pPr/>
      <w:r>
        <w:t>A literatura comparada sobre Brasil, Argentina, Indonésia, países europeus e países africanos mostra que regras semelhantes no nome podem operar de modo distinto em sistemas institucionais diferentes. As competências locais, o grau de autonomia tributária, as fórmulas de partilha e a qualidade das instituições condicionam os resultados. Por isso, a literatura internacional é empregada neste artigo para identificar mecanismos e perguntas, não para transferir diretamente coeficientes estimados em outros países para os municípios estudados.</w:t>
      </w:r>
    </w:p>
    <w:p>
      <w:pPr/>
      <w:r>
        <w:t>A comparação entre municípios não pode se limitar ao valor absoluto de receita ou despesa. Municípios maiores tendem a apresentar montantes totais maiores, mas podem enfrentar estruturas de custo diferentes, concentração de demanda, redes de serviços mais complexas e pressões metropolitanas. Indicadores per capita reduzem parte do problema de escala, mas não controlam diferenças de composição demográfica, pobreza, dispersão territorial, população flutuante ou custo de provisão. Uma comparação robusta exigiria indicadores complementares e explicitação de suas limitações.</w:t>
      </w:r>
    </w:p>
    <w:p>
      <w:pPr/>
      <w:r>
        <w:t>A descentralização fiscal procura compatibilizar preferências locais, provisão de serviços e responsabilidades financeiras. O argumento favorável à descentralização é que governos próximos da população podem responder melhor às necessidades locais; contudo, ganhos potenciais dependem de economias de escala, externalidades, capacidade institucional e mecanismos de responsabilização. Quando as bases tributárias variam entre territórios, a descentralização também pode ampliar desigualdades de capacidade de financiamento. Transferências equalizadoras podem reduzir essas diferenças, embora o desenho da fórmula influencie os incentivos marginais dos governos recebedores.</w:t>
      </w:r>
    </w:p>
    <w:p>
      <w:pPr>
        <w:pStyle w:val="Heading3"/>
      </w:pPr>
      <w:r>
        <w:t>5.4 Federalismo fiscal, equalização e heterogeneidade territorial</w:t>
      </w:r>
    </w:p>
    <w:p>
      <w:pPr/>
      <w:r>
        <w:t>Para os dois municípios paraenses, a interpretação substantiva dependeria de observar conjuntamente receitas tributárias próprias, transferências discriminadas por origem, receita corrente, base econômica, população e despesa por função. A série preliminar de despesa empenhada por habitante não contém todos esses elementos harmonizados. Não é possível, portanto, concluir se eventuais diferenças de gasto decorrem de autonomia tributária, composição das transferências, demanda por serviços ou escolhas políticas. O que se pode afirmar é que essas dimensões precisam ser separadas numa etapa posterior de validação.</w:t>
      </w:r>
    </w:p>
    <w:p>
      <w:pPr/>
      <w:r>
        <w:t>Mattos, Rocha e Arvate (2011) colocam a eficiência de arrecadação no centro da explicação do flypaper no contexto brasileiro. A discussão sugere que os repasses podem afetar decisões de arrecadação, mas a direção e a magnitude do efeito não são universais. Transferências podem substituir esforço próprio em determinadas condições; em outras, podem financiar investimento administrativo, ampliar a base econômica ou melhorar a capacidade de cobrança. A hipótese de substituição e a hipótese de complementaridade devem, portanto, ser consideradas empiricamente, em vez de assumir uma delas como resultado necessário.</w:t>
      </w:r>
    </w:p>
    <w:p>
      <w:pPr/>
      <w:r>
        <w:t>A autonomia fiscal tem dimensão formal e dimensão efetiva. A primeira decorre das competências tributárias atribuídas por lei; a segunda depende da capacidade administrativa de cadastrar contribuintes, avaliar bases tributáveis, cobrar débitos, reduzir inadimplência e manter sistemas de informação. Um governo pode dispor de competência legal para arrecadar e, ainda assim, ter receita própria limitada por estrutura econômica, informalidade, custos de fiscalização ou insuficiência administrativa. Em consequência, a proporção de receitas tributárias próprias não deve ser interpretada isoladamente como medida completa de esforço fiscal.</w:t>
      </w:r>
    </w:p>
    <w:p>
      <w:pPr>
        <w:pStyle w:val="Heading3"/>
      </w:pPr>
      <w:r>
        <w:t>5.3 Autonomia tributária e incentivos à arrecadação própria</w:t>
      </w:r>
    </w:p>
    <w:p>
      <w:pPr/>
      <w:r>
        <w:t>Essa distinção também protege contra uma leitura excessivamente simples de transparência. A publicação de dados orçamentários é condição importante para accountability, mas a disponibilidade técnica não garante que a informação seja compreendida ou utilizada. Arquivos com classificações complexas, revisões, diferenças entre receita bruta e líquida e múltiplos estágios da despesa podem dificultar comparações mesmo para usuários especializados. A qualidade da informação fiscal deve ser avaliada não só por sua existência, mas também por clareza, comparabilidade, tempestividade e possibilidade de reprodução.</w:t>
      </w:r>
    </w:p>
    <w:p>
      <w:pPr/>
      <w:r>
        <w:t>É importante separar a hipótese psicológica ou informacional de indicadores contábeis. A participação das transferências na receita total pode ser uma condição institucional relevante, mas não mede diretamente o conhecimento do eleitor. Para testar ilusão fiscal, estudos podem recorrer a dados de percepção, experimentos de informação, medidas de visibilidade tributária ou estratégias empíricas que explorem diferenças institucionais. A ausência dessas variáveis no presente trabalho impede afirmar que os habitantes de Castanhal ou Abaetetuba subestimam o custo dos serviços. O texto, portanto, usa ilusão fiscal como lente teórica e não como resultado empiricamente confirmado.</w:t>
      </w:r>
    </w:p>
    <w:p>
      <w:pPr/>
      <w:r>
        <w:t>A hipótese de ilusão fiscal concentra-se na percepção do custo dos serviços públicos. O mecanismo pode operar quando o sistema tributário é complexo, quando o vínculo entre serviço e tributo é pouco visível ou quando a fonte de financiamento é percebida como externa ao contribuinte local. A discussão remonta a trabalhos sobre instituições políticas, estrutura tributária e despesa pública, como Pommerehne e Schneider (1978), Misiolek e Elder (1988), Grossman (1990) e Logan (1986). Esses estudos diferem em seus contextos e medidas, mas compartilham a preocupação com a possibilidade de o preço fiscal percebido divergir do custo econômico do gasto.</w:t>
      </w:r>
    </w:p>
    <w:p>
      <w:pPr>
        <w:pStyle w:val="Heading3"/>
      </w:pPr>
      <w:r>
        <w:t>5.2 Ilusão fiscal: conceito, mensuração e limites</w:t>
      </w:r>
    </w:p>
    <w:p>
      <w:pPr/>
      <w:r>
        <w:t>A revisão de Lago, Lago-Peñas e Martínez-Vázquez (2024) é particularmente útil por organizar a pesquisa sobre transferências em várias dimensões, não apenas o volume de despesa. A literatura examina também arrecadação própria, estabilidade fiscal, política, composição orçamentária e heterogeneidade institucional. Essa perspectiva impede uma conclusão normativa precipitada: um município que recebe parcela elevada de transferências pode estar cumprindo uma função equalizadora legítima, sobretudo quando sua base tributária é menor ou as necessidades de serviço são maiores. Dependência financeira, por si só, não é sinônimo de má gestão.</w:t>
      </w:r>
    </w:p>
    <w:p>
      <w:pPr/>
      <w:r>
        <w:t>Uma consequência analítica é que transferências não devem ser tratadas como categoria homogênea. Repasses livres, transferências condicionadas, recursos de capital, transferências constitucionais, convênios e receitas associadas a recursos naturais podem produzir incentivos distintos. A vinculação pode restringir formalmente a aplicação, mas a fungibilidade orçamentária pode liberar recursos próprios para outras finalidades. Em contrapartida, exigências de contrapartida, regras de elegibilidade e prestação de contas podem alterar os incentivos de arrecadação e execução. Assim, o agregado de transferências é útil para descrever a estrutura fiscal, mas pode ocultar mecanismos diferentes.</w:t>
      </w:r>
    </w:p>
    <w:p>
      <w:pPr/>
      <w:r>
        <w:t>A literatura clássica sobre o efeito flypaper parte da diferença entre a resposta prevista pelo modelo padrão de escolha do eleitor e a resposta observada em determinados orçamentos locais. Hamilton (1983), Hamilton (1986), Wyckoff (1991) e Hines e Thaler (1995) são referências importantes para a formulação e a discussão do fenômeno. O ponto de partida não é que todo repasse se converta automaticamente em gasto adicional, mas que em alguns contextos a despesa pública reage a recursos transferidos de maneira diferente da reação a uma elevação equivalente da renda privada. A magnitude e a robustez dessa diferença dependem de especificação, instituições, composição das transferências e estratégia de identificação.</w:t>
      </w:r>
    </w:p>
    <w:p>
      <w:pPr/>
      <w:r>
        <w:t>A leitura conjunta do corpus exige distinguir três perguntas frequentemente aproximadas na discussão pública: se transferências aumentam a despesa, se alteram o esforço de arrecadação própria e se modificam a percepção dos cidadãos sobre o custo dos serviços. Embora possam estar relacionadas, essas perguntas não são equivalentes e demandam variáveis e desenhos empíricos diferentes. Uma associação entre transferências e despesa pode ser compatível com o efeito flypaper, mas não demonstra que o aumento da despesa foi causado pela transferência, nem que os contribuintes desconhecem seu custo. Para identificar cada mecanismo, é necessário especificar o contrafactual, a unidade de análise e as condições que tornam plausível a comparação.</w:t>
      </w:r>
    </w:p>
    <w:p>
      <w:pPr>
        <w:pStyle w:val="Heading3"/>
      </w:pPr>
      <w:r>
        <w:t>5.1 O que a literatura permite afirmar sobre transferências</w:t>
      </w:r>
    </w:p>
    <w:p>
      <w:pPr/>
      <w:r>
        <w:t>Para investigar diretamente a ilusão fiscal, seria necessário acrescentar uma dimensão informacional: pesquisas de opinião sobre conhecimento de tributos e transferências, experimentos de informação ou indicadores de transparência e compreensão do orçamento. Para investigar o flypaper, seria necessário definir uma estratégia que permita comparar a resposta do gasto a recursos transferidos com a resposta a variações equivalentes na renda privada, além de enfrentar a endogeneidade dos repasses. A literatura sobre regras descontínuas e alocação política (Dahlberg et al., 2008; Solé-Ollé e Sorribas-Navarro, 2008) mostra exemplos de perguntas de identificação, mas a viabilidade de cada método depende das regras e dos dados disponíveis para o caso brasileiro.</w:t>
      </w:r>
    </w:p>
    <w:p>
      <w:pPr/>
      <w:r>
        <w:t>Outra extensão seria combinar dados fiscais com indicadores de serviços públicos, sem supor que despesa maior significa eficiência maior. Resultados de educação, saúde, saneamento ou infraestrutura precisam ter cobertura temporal e territorial compatível com as variáveis fiscais. A análise deveria explicitar defasagens plausíveis entre gasto e resultado, fatores de demanda, condições socioeconômicas e limites de atribuição causal. A literatura sobre transferências e resultados educacionais (Litschig e Morrison, 2013) é relevante justamente por mostrar que a pergunta empírica pode ser formulada em torno de resultados específicos, e não somente de volumes orçamentários.</w:t>
      </w:r>
    </w:p>
    <w:p>
      <w:pPr/>
      <w:r>
        <w:t>Uma etapa posterior poderia ampliar o universo de análise para um painel de municípios paraenses comparáveis em população, estrutura econômica e localização. O aumento do número de unidades permitiria descrever heterogeneidade e verificar se padrões observados em Castanhal e Abaetetuba se repetem em municípios com diferentes capacidades fiscais. A seleção deveria ser definida antes da análise e documentada, evitando escolher casos apenas porque produzem resultados convenientes. Também seria importante manter séries anuais harmonizadas, registrar mudanças de classificação e distinguir repasses correntes e de capital, transferências condicionadas e não condicionadas e receitas próprias tributárias e não tributárias.</w:t>
      </w:r>
    </w:p>
    <w:p>
      <w:pPr/>
      <w:r>
        <w:rPr>
          <w:b/>
        </w:rPr>
        <w:t>4.9 Agenda empírica para a continuidade da pesquisa municipal</w:t>
      </w:r>
    </w:p>
    <w:p>
      <w:pPr/>
      <w:r>
        <w:t>A comparação internacional é mais útil quando organiza questões e limitações do que quando produz rankings artificiais. Diferenças entre sistemas de governo, repartição de receitas, composição econômica e sistemas estatísticos afetam o significado dos indicadores. Mesmo que duas unidades apresentem uma proporção semelhante de transferências, essa semelhança numérica pode corresponder a instituições e incentivos distintos. Assim, o uso da Nigéria neste artigo deve ser interpretado como exercício contextual: ajuda a explicitar que a dependência de transferências precisa ser compreendida dentro das regras de cada federação e da estrutura de receitas de cada país.</w:t>
      </w:r>
    </w:p>
    <w:p>
      <w:pPr/>
      <w:r>
        <w:t>No caso nigeriano, a dependência de receitas distribuídas a partir do nível federal e a importância histórica dos recursos naturais exigem atenção à volatilidade, à previsibilidade das transferências e às diferenças de capacidade entre estados e governos locais. O problema não é apenas saber qual parcela da receita provém de repasses, mas como a fórmula de repartição se relaciona com atribuições de gasto, arrecadação subnacional e estabilidade das receitas. Para realizar uma comparação empírica rigorosa com Castanhal e Abaetetuba, seria necessário harmonizar o nível de governo, o período, a definição de receita, os estágios da despesa, os deflatores e a cobertura institucional. Na ausência dessa harmonização, a Nigéria funciona como contexto institucional e macrofiscal, não como unidade equivalente nem grupo de controle.</w:t>
      </w:r>
    </w:p>
    <w:p>
      <w:pPr/>
      <w:r>
        <w:t>A literatura sobre países em desenvolvimento reforça que o desenho formal do federalismo pode coexistir com capacidades administrativas e bases tributárias muito desiguais. Bird e Smart (2002) sintetizam lições internacionais sobre transferências para países em desenvolvimento, destacando a relação entre objetivos de equalização, incentivos e capacidade de implementação. A experiência da Indonésia estudada por Lewis e Smoke (2017) mostra a relevância de analisar incentivos e respostas locais dentro de um arranjo específico. A análise de transferências e disparidades fiscais na China (Tsui, 2005) também evidencia que regras de financiamento interagem com desigualdades territoriais e instituições. Essas referências oferecem perguntas comparativas, mas não fornecem uma base para presumir que mecanismos idênticos operem no Pará e na Nigéria.</w:t>
      </w:r>
    </w:p>
    <w:p>
      <w:pPr/>
      <w:r>
        <w:rPr>
          <w:b/>
        </w:rPr>
        <w:t>4.8 Federalismo fiscal em países em desenvolvimento e a cautela da comparação internacional</w:t>
      </w:r>
    </w:p>
    <w:p>
      <w:pPr/>
      <w:r>
        <w:t>A qualidade dos dados é parte do desenho de identificação. Classificações contábeis podem mudar, registros podem ser retificados e os estágios de execução — empenhado, liquidado e pago — não são equivalentes. Valores nominais precisam ser deflacionados para comparações temporais, e os indicadores per capita dependem de denominadores populacionais consistentes. A transparência sobre essas decisões permite que leitores reproduzam cálculos e identifiquem a origem de diferenças entre versões. Por isso, a documentação de lacunas e mudanças não deve ser tratada como apêndice burocrático: é condição para avaliar a robustez de qualquer conclusão fiscal.</w:t>
      </w:r>
    </w:p>
    <w:p>
      <w:pPr/>
      <w:r>
        <w:t>A distinção entre associação e causalidade também se aplica à avaliação de resultados sociais. Litschig e Morrison (2013) estudam transferências e resultados educacionais e redução da pobreza, mostrando a importância de definir resultados além do montante gasto. Entretanto, um estudo que relaciona recursos a resultados sociais precisa considerar o período entre financiamento e resultado, a distribuição dos recursos entre serviços e a existência de fatores concorrentes. No presente trabalho, não se estima uma função de produção pública nem se atribuem mudanças em educação, saúde ou bem-estar às despesas municipais. Essa separação impede que a discussão transforme coincidência temporal em afirmação causal.</w:t>
      </w:r>
    </w:p>
    <w:p>
      <w:pPr/>
      <w:r>
        <w:t>Os resultados sobre transferências são sensíveis ao método de identificação. Uma correlação entre repasses e gasto pode refletir causalidade reversa, porque governos com maiores necessidades podem receber mais recursos; fatores omitidos podem afetar simultaneamente transferências e despesas; e as regras de alocação podem gerar seleção não aleatória. A literatura usa diferentes estratégias para enfrentar esses problemas, incluindo regras descontínuas, variações institucionais e comparações temporais. Dahlberg, Mörk, Rattsø e Ågren (2008) utilizam uma regra descontínua de concessão para estudar efeitos sobre tributos e gasto locais, enquanto Solé-Ollé e Sorribas-Navarro (2008) analisam diferenças na alocação relacionadas ao alinhamento partidário. Esses desenhos diferem substancialmente de uma comparação descritiva de duas séries municipais.</w:t>
      </w:r>
    </w:p>
    <w:p>
      <w:pPr/>
      <w:r>
        <w:rPr>
          <w:b/>
        </w:rPr>
        <w:t>4.7 Identificação empírica e qualidade das inferências</w:t>
      </w:r>
    </w:p>
    <w:p>
      <w:pPr/>
      <w:r>
        <w:t>A diversificação de receitas também não pode ser interpretada automaticamente como evidência de ilusão. Carroll (2009) coloca em tensão a hipótese de ilusão e a de instabilidade associada à composição das receitas, enquanto Hendrick (2002) considera a possibilidade de a diversificação refletir gestão financeira flexível. A conclusão para este trabalho é que a composição fiscal é um indicador descritivo útil, mas ambíguo. Uma participação elevada de transferências pode refletir a divisão constitucional de competências e a função equalizadora do sistema, não necessariamente desconhecimento do contribuinte ou expansão excessiva do orçamento.</w:t>
      </w:r>
    </w:p>
    <w:p>
      <w:pPr/>
      <w:r>
        <w:t>A dimensão informacional é central porque cidadãos podem responder de maneiras diferentes à mesma arquitetura fiscal. Winter e Mouritzen (2001) discutem ilusões assimétricas e a demanda por benefícios públicos; Arvate, Avelino e Tavares (2009) tratam da diferença entre eleitores mais e menos sofisticados em uma democracia recente. Ashworth e Heyndels (1997), ao estudar preferências políticas sobre alíquotas locais, contribuem para a discussão de como decisões tributárias se relacionam com preferências e incentivos. Em conjunto, essa linha de pesquisa recomenda não inferir percepções subjetivas exclusivamente a partir de registros de receita e despesa: para testar diretamente a hipótese, seriam necessários dados de opinião, informação, transparência percebida ou comportamento eleitoral, combinados a um desenho de pesquisa apropriado.</w:t>
      </w:r>
    </w:p>
    <w:p>
      <w:pPr/>
      <w:r>
        <w:t>A hipótese de ilusão fiscal trata de como os cidadãos percebem o custo dos serviços e atribuem responsabilidade por seu financiamento. A complexidade das jurisdições, a fragmentação de tributos e a distância entre a cobrança e a despesa podem dificultar a avaliação do preço fiscal. Pommerehne e Schneider (1978), Misiolek e Elder (1988) e Campbell (2004) relacionam estrutura tributária, instituições políticas e dimensão do governo a diferentes versões do argumento de ilusão fiscal. Grossman (1990) testa a hipótese no contexto de subvenções intergovernamentais, enquanto McGillivray e Morrissey (2001) exploram a noção de ilusão associada à ajuda externa e ao comportamento fiscal. Esses trabalhos não autorizam concluir que toda receita transferida seja invisível, nem que a ilusão esteja presente em qualquer governo dependente de repasses.</w:t>
      </w:r>
    </w:p>
    <w:p>
      <w:pPr/>
      <w:r>
        <w:rPr>
          <w:b/>
        </w:rPr>
        <w:t>4.6 Ilusão fiscal, visibilidade e comportamento do eleitor</w:t>
      </w:r>
    </w:p>
    <w:p>
      <w:pPr/>
      <w:r>
        <w:t>As evidências sobre a Rússia pós-soviética (Treisman, 1996), sobre a relação entre transferências e comportamento fiscal (Sanguinetti e Tommasi, 2004) e sobre os efeitos de grupos de pressão na despesa (Dougan e Kenyon, 1988) ampliam a discussão para além de um mecanismo puramente contábil. A composição do orçamento resulta de negociação, regras formais, incentivos políticos e restrições de capacidade. Para os municípios paraenses, isso significa que qualquer interpretação futura sobre dependência fiscal precisará separar transferências constitucionais, legais, voluntárias e vinculadas, em vez de tratar todos os repasses como um único recurso homogêneo.</w:t>
      </w:r>
    </w:p>
    <w:p>
      <w:pPr/>
      <w:r>
        <w:t>A literatura comparada também evidencia que a dependência de recursos externos não tem uma consequência única sobre o esforço tributário. Transferências podem permitir que localidades com bases econômicas estreitas financiem serviços que, de outro modo, seriam inviáveis; ao mesmo tempo, podem alterar incentivos para ampliar a base própria, atualizar cadastros ou cobrar tributos. A relação entre estrutura tributária local, transferências e disparidades fiscais na China (Tsui, 2005), a discussão sobre diversificação de receitas municipais (Hendrick, 2002; Carroll, 2009) e a análise de transferências intergovernamentais em países em desenvolvimento (Bird e Smart, 2002) reforçam a necessidade de considerar o arranjo institucional e a capacidade administrativa. Não é adequado interpretar uma participação elevada de transferências automaticamente como falha de gestão: ela pode refletir desenho equalizador, atribuições de gasto e condições econômicas.</w:t>
      </w:r>
    </w:p>
    <w:p>
      <w:pPr/>
      <w:r>
        <w:t>A literatura de federalismo fiscal mostra que a fórmula de distribuição dos recursos importa tanto quanto o volume transferido. Transferências podem buscar equalização da capacidade fiscal, compensação por atribuições de gasto ou financiamento de políticas específicas. Porém, as regras também podem gerar incentivos para que governos locais ajustem arrecadação, despesas ou estratégias políticas. A análise de transferências na Suécia como instrumento tático (Johansson, 2003), os estudos sobre alinhamento partidário na Espanha (Solé-Ollé e Sorribas-Navarro, 2008) e a evidência sobre economia política em democracias em consolidação (Veiga e Pinho, 2007; Arvate, Avelino e Tavares, 2009) indicam que a distribuição não é necessariamente apenas técnica: instituições e competição política podem condicionar sua alocação e seu uso.</w:t>
      </w:r>
    </w:p>
    <w:p>
      <w:pPr/>
      <w:r>
        <w:rPr>
          <w:b/>
        </w:rPr>
        <w:t>4.5 Desenho das transferências, política e incentivos locais</w:t>
      </w:r>
    </w:p>
    <w:p>
      <w:pPr/>
      <w:r>
        <w:t>A consequência para o presente estudo é metodológica. Os dados exploratórios de Castanhal e Abaetetuba não permitem comparar a resposta marginal da despesa a uma transferência com a resposta a um aumento equivalente da renda privada. Tampouco contêm medidas diretas de conhecimento tributário, percepção dos cidadãos ou visibilidade dos custos. Portanto, a análise pode descrever a trajetória de despesa por habitante e explicitar o papel institucional das transferências, mas não deve rotular a trajetória observada como prova de flypaper ou de ilusão fiscal. A prudência não reduz a contribuição do artigo: delimita precisamente o que a evidência permite concluir.</w:t>
      </w:r>
    </w:p>
    <w:p>
      <w:pPr/>
      <w:r>
        <w:t>A evidência acumulada também alerta contra a busca de uma explicação universal. A resposta a transferências pode variar segundo o tipo de recurso, a previsibilidade do repasse, a liberdade de uso, as regras de contrapartida, a estrutura tributária e a forma de organização do processo orçamentário. Estudos sobre assimetria mostram que aumentos e reduções de transferências não precisam produzir respostas simétricas (Gamkhar e Oates, 1996; Volden, 1999). Outros trabalhos destacam que a resposta pode depender da incerteza e do contexto macroeconômico (Vegh e Vuletin, 2015), enquanto análises de transferências setoriais mostram que os resultados observados podem variar por área de gasto e pelo desenho do programa (Leduc e Wilson, 2017; Levaggi e Zanola, 2003). Assim, um agregado anual de transferências pode ocultar mecanismos distintos.</w:t>
      </w:r>
    </w:p>
    <w:p>
      <w:pPr/>
      <w:r>
        <w:t>A primeira implicação da literatura é que transferências, ilusão fiscal e efeito flypaper devem ser tratados como conceitos relacionados, mas não equivalentes. Uma transferência é uma categoria de receita; o efeito flypaper é um padrão comparativo de resposta do gasto a recursos recebidos pelo governo em relação à resposta a uma mudança equivalente na renda privada; a ilusão fiscal é uma hipótese sobre informação, percepção e avaliação do custo dos serviços públicos. A presença de transferências em uma estrutura orçamentária não comprova, isoladamente, qualquer dos dois mecanismos. Essa distinção aparece no debate clássico sobre o flypaper e suas anomalias (Hamilton, 1983; Hamilton, 1986; Wyckoff, 1991; Hines e Thaler, 1995) e continua relevante para estudos que tratam de incentivos políticos e desenho de repasses (Bailey e Connolly, 1998; Grossman, 1990; Grossman, 1994).</w:t>
      </w:r>
    </w:p>
    <w:p>
      <w:pPr/>
      <w:r>
        <w:rPr>
          <w:b/>
        </w:rPr>
        <w:t>4.4 Leitura integrada da evidência: por que os mecanismos não devem ser confundidos</w:t>
      </w:r>
    </w:p>
    <w:p>
      <w:pPr>
        <w:pStyle w:val="Heading2"/>
      </w:pPr>
      <w:r>
        <w:t>5. Discussão ampliada</w:t>
      </w:r>
    </w:p>
    <w:p>
      <w:pPr>
        <w:pStyle w:val="Heading2"/>
      </w:pPr>
      <w:r>
        <w:t>8. Conclusão</w:t>
      </w:r>
    </w:p>
    <w:p>
      <w:pPr>
        <w:pStyle w:val="FirstParagraph"/>
      </w:pPr>
      <w:r>
        <w:t>Com o denominador populacional harmonizado à população indicada nos arquivos FINBRA recebidos, a despesa empenhada por habitante em reais de 2024 passou aproximadamente de R$ 2.621 para R$ 3.754 em Castanhal entre 2015 e 2024 (aumento de 43,2%) e de R$ 2.308 para R$ 3.727 em Abaetetuba (aumento de 61,5%). Esses percentuais são descritivos e permanecem condicionados à conferência da população em série oficial anual e à verificação das retificações DCA/SICONFI; não demonstram causalidade.</w:t>
      </w:r>
    </w:p>
    <w:p>
      <w:pPr>
        <w:pStyle w:val="BodyText"/>
      </w:pPr>
      <w:r>
        <w:t xml:space="preserve">O contexto macrofiscal da Nigéria destaca a importância de identificar com precisão a cobertura institucional e a versão de cada indicador. A série de receita do governo geral em porcentagem do PIB não é diretamente comparável às despesas municipais brasileiras. A principal lição metodológica é que comparações internacionais exigem harmonização conceitual, documental e temporal.</w:t>
      </w:r>
    </w:p>
    <w:p>
      <w:pPr>
        <w:pStyle w:val="BodyText"/>
      </w:pPr>
      <w:r>
        <w:t>As limitações são substantivas e estão documentadas: (i) os 20 pares município-ano foram conferidos internamente contra as exportações FINBRA recebidas, mas a última versão retificada da DCA/SICONFI não foi verificada linha a linha; (ii) os indicadores per capita foram harmonizados usando a população embutida nos mesmos arquivos FINBRA, mas essa série ainda não foi certificada como a série anual definitiva do IBGE; (iii) a variável de receita é receita bruta menos deduções identificadas e não receita líquida oficial certificada; (iv) a revisão e a bibliometria utilizam agora o mesmo corpus de 80 registros Scopus, com a lista de candidatos anterior preservada apenas para rastreabilidade; (v) a leitura integral dos 80 textos não está comprovada. Os resultados devem ser interpretados como exploratórios.</w:t>
      </w:r>
    </w:p>
    <w:p>
      <w:pPr>
        <w:pStyle w:val="BodyText"/>
      </w:pPr>
      <w:r>
        <w:t>Em conclusão, a literatura fornece mecanismos plausíveis para compreender como transferências podem afetar decisões de gasto e esforço tributário, e por que a ilusão fiscal pode influenciar a percepção do custo dos serviços. Entretanto, os dados municipais reunidos nesta versão não permitem confirmar o efeito flypaper. O resultado mais defensável é uma síntese teórica acompanhada de descrição fiscal preliminar, com lacunas de validação explicitadas. A versão não deve ser apresentada como análise bibliométrica concluída nem como teste causal do efeito flypaper.</w:t>
      </w:r>
    </w:p>
    <w:bookmarkEnd w:id="36"/>
    <w:bookmarkStart w:id="37" w:name="X3cb0252f7dc765bb0fc3f2913d87a3c23a7a3bb"/>
    <w:p>
      <w:pPr/>
      <w:r>
        <w:t>Nota de transparência bibliográfica: a matriz de rastreabilidade acompanha o pacote e distingue registros com página editorial consultada, registros parcialmente confirmados e candidatos pendentes. A discussão temática utiliza informações disponíveis na exportação e nas fontes de verificação registradas; não se afirma leitura integral de todos os estudos. Os 80 títulos são distintos na matriz, mas isso não significa 80 artigos elegíveis com todos os metadados confirmados. A análise bibliométrica descritiva da amostra foi executada no Bibliometrix/Biblioshiny; a verificação individual de elegibilidade bibliográfica continua registrada na matriz de auditoria.</w:t>
      </w:r>
    </w:p>
    <w:bookmarkEnd w:id="37"/>
    <w:bookmarkStart w:id="38" w:name="fontes-de-dados-e-documentação"/>
    <w:bookmarkEnd w:id="38"/>
    <w:bookmarkStart w:id="40" w:name="X2a31b5d52a3ea0a70b97f74cac883b526354689"/>
    <w:bookmarkStart w:id="39" w:name="comparabilidade-com-a-nigéria"/>
    <w:bookmarkEnd w:id="39"/>
    <w:bookmarkEnd w:id="40"/>
    <w:bookmarkStart w:id="41" w:name="referências-de-dados-adicionadas"/>
    <w:bookmarkEnd w:id="41"/>
    <w:bookmarkStart w:id="42" w:name="síntese-crítica-da-literatura-consultada"/>
    <w:bookmarkEnd w:id="42"/>
    <w:bookmarkEnd w:id="43"/>
    <w:p>
      <w:pPr>
        <w:pStyle w:val="Heading2"/>
      </w:pPr>
      <w:r>
        <w:t>Referências</w:t>
      </w:r>
    </w:p>
    <w:p>
      <w:pPr/>
      <w:r>
        <w:t>As referências abaixo correspondem aos 80 registros do corpus exportado da Scopus usado na análise bibliométrica e discutido tematicamente no artigo. A referência segue os campos disponíveis na exportação; volume, número e páginas são incluídos quando informados. A conferência editorial independente e a leitura integral não estão comprovadas para todos os itens.</w:t>
      </w:r>
    </w:p>
    <w:p>
      <w:pPr/>
      <w:r>
        <w:t>Alves P.J.H.F.;  Araujo J.M.. (2024). The effects of intergovernmental transfers on the local fiscal incentives of Brazilian municipalities. Journal of Government and Economics, v. 13, art. 100104. DOI: https://doi.org/10.1016/j.jge.2024.100104.</w:t>
      </w:r>
    </w:p>
    <w:p>
      <w:pPr/>
      <w:r>
        <w:t>Mejia Acosta A.;  Meneses K.. (2019). Who benefits? Intergovernmental transfers, subnational politics and local spending in Ecuador. Regional and Federal Studies, v. 29, n. 2, p. 219–247. DOI: https://doi.org/10.1080/13597566.2018.1556644.</w:t>
      </w:r>
    </w:p>
    <w:p>
      <w:pPr/>
      <w:r>
        <w:t>Mattos E.;  Politi R.;  Yamaguchi A.. (2018). Grants and dispersion of local education spending in Brazil. Regional Studies, v. 52, n. 2, p. 239–249. DOI: https://doi.org/10.1080/00343404.2017.1287891.</w:t>
      </w:r>
    </w:p>
    <w:p>
      <w:pPr/>
      <w:r>
        <w:t>Guerrero O.A.;  Castañeda G.;  Trujillo G.;  Hackett L.;  Chávez-Juárez F.. (2022). Subnational sustainable development: The role of vertical intergovernmental transfers in reaching multidimensional goals. Socio-Economic Planning Sciences, v. 83, art. 101155.0. DOI: https://doi.org/10.1016/j.seps.2021.101155.</w:t>
      </w:r>
    </w:p>
    <w:p>
      <w:pPr/>
      <w:r>
        <w:t>Castro M.;  Mattos E.. (2021). Measuring Fiscal Spillovers in Brazilian Municipalities. Public Finance Review, v. 49, n. 2, p. 221–261. DOI: https://doi.org/10.1177/1091142121993522.</w:t>
      </w:r>
    </w:p>
    <w:p>
      <w:pPr/>
      <w:r>
        <w:t>Cruz T.;  Silva T.. (2020). Minimum Spending in Education and the Flypaper Effect. Economics of Education Review, v. 77, art. 102012.0. DOI: https://doi.org/10.1016/j.econedurev.2020.102012.</w:t>
      </w:r>
    </w:p>
    <w:p>
      <w:pPr/>
      <w:r>
        <w:t>Aritenang A.F.. (2020). The effect of intergovernmental transfers on infrastructure spending in Indonesia. Journal of the Asia Pacific Economy, v. 25, n. 3, p. 571–590. DOI: https://doi.org/10.1080/13547860.2019.1675352.</w:t>
      </w:r>
    </w:p>
    <w:p>
      <w:pPr/>
      <w:r>
        <w:t>Bernardo J.S.;  Abrantes L.A.;  de Almeida F.M.;  Rodrigues C.T.. (2020). Implications of constitutional transfers on the quality of municipal education in the North and Northeast of Brazil; [Implicações dos repasses constitucionais na qualidade da educação municipal das regiões Norte e Nordeste do Brasil]. Educacao e Pesquisa, v. 46, p. 1–19. DOI: https://doi.org/10.1590/S1678-4634202046218302.</w:t>
      </w:r>
    </w:p>
    <w:p>
      <w:pPr/>
      <w:r>
        <w:t>Prado P.H.M.;  da Silva C.G.. (2020). Wagner’s Law and Fiscal Illusion: An analysis of state government finances in Brazil. Review of Development Economics, v. 24, n. 2, p. 628–643. DOI: https://doi.org/10.1111/rode.12662.</w:t>
      </w:r>
    </w:p>
    <w:p>
      <w:pPr/>
      <w:r>
        <w:t>Porto A.;  Puig J.. (2023). Fiscal Federalism: The Interaction between Own Revenues and Intergovernmental Transfers in Local Governments - The Case of Municipalities in Buenos Aires. Publius: The Journal of Federalism, v. 53, n. 4, p. 642–678. DOI: https://doi.org/10.1093/publius/pjad005.</w:t>
      </w:r>
    </w:p>
    <w:p>
      <w:pPr/>
      <w:r>
        <w:t>Gainza X.;  Livert F.. (2021). The electoral bias: the political economy of subnational transfers in Latin America. Regional Studies, v. 55, n. 6, p. 1032–1045. DOI: https://doi.org/10.1080/00343404.2020.1861235.</w:t>
      </w:r>
    </w:p>
    <w:p>
      <w:pPr/>
      <w:r>
        <w:t>Masaki T.. (2018). The impact of intergovernmental transfers on local revenue generation in Sub-Saharan Africa: Evidence from Tanzania. World Development, v. 106, p. 173–186. DOI: https://doi.org/10.1016/j.worlddev.2018.01.026.</w:t>
      </w:r>
    </w:p>
    <w:p>
      <w:pPr/>
      <w:r>
        <w:t>Shani R.;  Reingewertz Y.;  Vigoda-Gadot E.. (2023). Intergovernmental grants and local public finance: An empirical examination in Israel. European Journal of Political Economy, v. 79, art. 102420.0. DOI: https://doi.org/10.1016/j.ejpoleco.2023.102420.</w:t>
      </w:r>
    </w:p>
    <w:p>
      <w:pPr/>
      <w:r>
        <w:t>Ferreira J.L.D.;  Alves A.F.;  Caldeira E.. (2021). Grants for Whom and Why? The Politics of Allocation of Transfers in Brazil. Developing Economies, v. 59, n. 1, p. 39–63. DOI: https://doi.org/10.1111/deve.12265.</w:t>
      </w:r>
    </w:p>
    <w:p>
      <w:pPr/>
      <w:r>
        <w:t>de Carvalho Filho I.;  Litschig S.. (2020). Long-run Impacts of Intergovernmental Transfers×. Journal of Human Resources, v. 57, n. 3, p. 1–56. DOI: https://doi.org/10.3368/jhr.57.3.0917-9064R2.</w:t>
      </w:r>
    </w:p>
    <w:p>
      <w:pPr/>
      <w:r>
        <w:t>Bastida F.;  Estrada L.;  Guillamón M.-D.. (2022). Flypaper effect and partisanship theories best explain municipal financial performance in Latin America. Policy Studies, v. 43, n. 6, p. 1298–1321. DOI: https://doi.org/10.1080/01442872.2021.1982887.</w:t>
      </w:r>
    </w:p>
    <w:p>
      <w:pPr/>
      <w:r>
        <w:t>Ferreira L.O.G.;  Serrano A.L.M.;  Revelli F.. (2019). EFFECTS OF FEDERAL CONSTITUTIONAL GRANTS IN BRAZILIAN MUNICIPALITIES. Review of Urban and Regional Development Studies, v. 31, n. 3, p. 203–233. DOI: https://doi.org/10.1111/rurd.12103.</w:t>
      </w:r>
    </w:p>
    <w:p>
      <w:pPr/>
      <w:r>
        <w:t>Knight B.. (2002). Endogenous federal grants and crowd-out of state government spending: Theory and evidence from the federal highway aid program. American Economic Review, v. 92, n. 1, p. 71–92. DOI: https://doi.org/10.1257/000282802760015612.</w:t>
      </w:r>
    </w:p>
    <w:p>
      <w:pPr/>
      <w:r>
        <w:t>Bonvecchi A.;  Lodola G.. (2011). The dual logic of intergovernmental transfers: Presidents, governors, and the politics of coalition-building in Argentina. Publius: The Journal of Federalism, v. 41, n. 2, p. 179–206. DOI: https://doi.org/10.1093/publius/pjq024.</w:t>
      </w:r>
    </w:p>
    <w:p>
      <w:pPr/>
      <w:r>
        <w:t>Deller S.C.;  Maher C.S.. (2006). A model of asymmetries in the flypaper effect. Publius: The Journal of Federalism, v. 36, n. 2, p. 213–229. DOI: https://doi.org/10.1093/publius/pjj005.</w:t>
      </w:r>
    </w:p>
    <w:p>
      <w:pPr/>
      <w:r>
        <w:t>Aragon F.M.. (2013). Local spending, transfers, and costly tax collection. National Tax Journal, v. 66, n. 2, p. 343–369. DOI: https://doi.org/10.17310/ntj.2013.2.03.</w:t>
      </w:r>
    </w:p>
    <w:p>
      <w:pPr/>
      <w:r>
        <w:t>Becker E.. (1996). The illusion of fiscal illusion: Unsticking the flypaper effect. Public Choice, v. 86, n. 1-2, p. 85–102. DOI: https://doi.org/10.1007/BF00114876.</w:t>
      </w:r>
    </w:p>
    <w:p>
      <w:pPr/>
      <w:r>
        <w:t>Baretti C.;  Huber B.;  Lichtblau K.. (2002). A Tax on Tax Revenue: The Incentive Effects of Equalizing Transfers: Evidence from Germany. International Tax and Public Finance, v. 9, n. 6, p. 631–649. DOI: https://doi.org/10.1023/A:1020925812428.</w:t>
      </w:r>
    </w:p>
    <w:p>
      <w:pPr/>
      <w:r>
        <w:t>Porto A.;  Sanguinetti P.. (2001). Political determinants of intergovernmental grants: Evidence from Argentina. Economics and Politics, v. 13, n. 3, p. 237–256. DOI: https://doi.org/10.1111/1468-0343.00092.</w:t>
      </w:r>
    </w:p>
    <w:p>
      <w:pPr/>
      <w:r>
        <w:t>Heyndels B.. (2001). Asymmetries in the flypaper effect: Empirical evidence for the Flemish municipalities. Applied Economics, v. 33, n. 10, p. 1329–1334. DOI: https://doi.org/10.1080/00036840010004536.</w:t>
      </w:r>
    </w:p>
    <w:p>
      <w:pPr/>
      <w:r>
        <w:t>Turnbull G.K.. (1998). The Overspending and Flypaper Effects of Fiscal Illusion: Theory and Empirical Evidence. Journal of Urban Economics, v. 44, n. 1, p. 1–26. DOI: https://doi.org/10.1006/juec.1997.2056.</w:t>
      </w:r>
    </w:p>
    <w:p>
      <w:pPr/>
      <w:r>
        <w:t>Heyndels B.;  Smolders C.. (1994). Fiscal illusion at the local level: Empirical evidence for the Flemish municipalities. Public Choice, v. 80, n. 3-4, p. 325–338. DOI: https://doi.org/10.1007/BF01053224.</w:t>
      </w:r>
    </w:p>
    <w:p>
      <w:pPr/>
      <w:r>
        <w:t>Bahl R.;  Johannes L.. (1994). Fiscal decentralization and intergovernmental transfers in less developed countries. Publius, v. 24, n. 1, p. 1–20. DOI: https://doi.org/10.2307/3330701.</w:t>
      </w:r>
    </w:p>
    <w:p>
      <w:pPr/>
      <w:r>
        <w:t>Dell'Anno R.;  Dollery B.E.. (2014). Comparative fiscal illusion: A fiscal illusion index for the European Union. Empirical Economics, v. 46, n. 3, p. 937–960. DOI: https://doi.org/10.1007/s00181-013-0701-x.</w:t>
      </w:r>
    </w:p>
    <w:p>
      <w:pPr/>
      <w:r>
        <w:t>van de Walle D.;  Mu R.. (2007). Fungibility and the flypaper effect of project aid: Micro-evidence for Vietnam. Journal of Development Economics, v. 84, n. 2, p. 667–685. DOI: https://doi.org/10.1016/j.jdeveco.2006.12.005.</w:t>
      </w:r>
    </w:p>
    <w:p>
      <w:pPr/>
      <w:r>
        <w:t>Volden C.. (2007). Intergovernmental grants: A formal model of interrelated national and subnational political decisions. Publius: The Journal of Federalism, v. 37, n. 2, p. 209–243. DOI: https://doi.org/10.1093/publius/pjl022.</w:t>
      </w:r>
    </w:p>
    <w:p>
      <w:pPr/>
      <w:r>
        <w:t>Melo L.. (2002). The flypaper effect under different institutional contexts: The Colombian case. Public Choice, v. 111, n. 3-4, p. 317–345. DOI: https://doi.org/10.1023/A:1014964318685.</w:t>
      </w:r>
    </w:p>
    <w:p>
      <w:pPr/>
      <w:r>
        <w:t>Mogues T.;  Benin S.. (2012). Do External Grants to District Governments Discourage Own Revenue Generation? A Look at Local Public Finance Dynamics in Ghana. World Development, v. 40, n. 5, p. 1054–1067. DOI: https://doi.org/10.1016/j.worlddev.2011.12.001.</w:t>
      </w:r>
    </w:p>
    <w:p>
      <w:pPr/>
      <w:r>
        <w:t>Turnbull G.K.. (1992). Fiscal illusion, uncertainty, and the flypaper effect. Journal of Public Economics, v. 48, n. 2, p. 207–223. DOI: https://doi.org/10.1016/0047-2727(92)90027-D.</w:t>
      </w:r>
    </w:p>
    <w:p>
      <w:pPr/>
      <w:r>
        <w:t>Bracco E.;  Lockwood B.;  Porcelli F.;  Redoano M.. (2015). Intergovernmental grants as signals and the alignment effect: Theory and evidence. Journal of Public Economics, v. 123, p. 78–91. DOI: https://doi.org/10.1016/j.jpubeco.2014.11.007.</w:t>
      </w:r>
    </w:p>
    <w:p>
      <w:pPr/>
      <w:r>
        <w:t>Allers M.A.;  Vermeulen W.. (2016). Capitalization of equalizing grants and the flypaper effect. Regional Science and Urban Economics, v. 58, p. 115–129. DOI: https://doi.org/10.1016/j.regsciurbeco.2016.03.005.</w:t>
      </w:r>
    </w:p>
    <w:p>
      <w:pPr/>
      <w:r>
        <w:t>Neto O.A.;  Simonassi A.G.. (2013). Bases políticas das transferências intergovernamentais no brasil (1985-2004). Revista de Economia Politica, v. 33, n. 4, p. 704–725. DOI: https://doi.org/10.1590/S0101-31572013000400010.</w:t>
      </w:r>
    </w:p>
    <w:p>
      <w:pPr/>
      <w:r>
        <w:t>Rodden J.. (2002). The dilemma of fiscal federalism: Grants and fiscal performance around the world. American Journal of Political Science, v. 46, n. 3, p. 670–687. DOI: https://doi.org/10.2307/3088407.</w:t>
      </w:r>
    </w:p>
    <w:p>
      <w:pPr/>
      <w:r>
        <w:t>Sausgruber R.;  Tyran J.-R.. (2005). Testing the Mill hypothesis of fiscal illusion. Public Choice, v. 122, n. 1-2, p. 39–68. DOI: https://doi.org/10.1007/s11127-005-3992-4.</w:t>
      </w:r>
    </w:p>
    <w:p>
      <w:pPr/>
      <w:r>
        <w:t>Marconi N.;  Arvate P.R.;  Moura Neto J.S.;  Palombo P.E.M.. (2009). Vertical transfers and the appropriation of resources by the bureaucracy: The case of Brazilian state governments. Public Choice, v. 141, n. 1-2, p. 65–85. DOI: https://doi.org/10.1007/s11127-009-9438-7.</w:t>
      </w:r>
    </w:p>
    <w:p>
      <w:pPr/>
      <w:r>
        <w:t>Araujo J.M.;  Siqueira R.B.. (2016). Demanda por gastos públicos locais: Evidências dos efeitos de ilusão fiscal no Brasil. Estudos Economicos, v. 46, n. 1, p. 189–219. DOI: https://doi.org/10.1590/0101-416146116jar.</w:t>
      </w:r>
    </w:p>
    <w:p>
      <w:pPr/>
      <w:r>
        <w:t>Kalb A.. (2010). The Impact of Intergovernmental Grants on Cost Efficiency: Theory and Evidence from German Municipalities. Economic Analysis and Policy, v. 40, n. 1, p. 23–48. DOI: https://doi.org/10.1016/S0313-5926(10)50002-X.</w:t>
      </w:r>
    </w:p>
    <w:p>
      <w:pPr/>
      <w:r>
        <w:t>Dahlby B.. (2011). The marginal cost of public funds and the flypaper effect. International Tax and Public Finance, v. 18, n. 3, p. 304–321. DOI: https://doi.org/10.1007/s10797-010-9160-x.</w:t>
      </w:r>
    </w:p>
    <w:p>
      <w:pPr/>
      <w:r>
        <w:t>Strumpf K.S.. (1998). A predictive index for the flypaper effect. Journal of Public Economics, v. 69, n. 3, p. 389–412. DOI: https://doi.org/10.1016/S0047-2727(98)00008-5.</w:t>
      </w:r>
    </w:p>
    <w:p>
      <w:pPr/>
      <w:r>
        <w:t>Dash B.B.;  Raja A.V.. (2013). Intergovernmental Transfers and Tax Collection in India: Does the Composition of Transfers Matter?. Public Budgeting and Finance, v. 33, n. 2, p. 93–116. DOI: https://doi.org/10.1111/j.1540-5850.2013.12010.x.</w:t>
      </w:r>
    </w:p>
    <w:p>
      <w:pPr/>
      <w:r>
        <w:t>Zhang G.. (2013). The Impacts of Intergovernmental Transfers on Local Governments' Fiscal Behavior in China: A Cross-County Analysis. Australian Journal of Public Administration, v. 72, n. 3, p. 264–277. DOI: https://doi.org/10.1111/1467-8500.12027.</w:t>
      </w:r>
    </w:p>
    <w:p>
      <w:pPr/>
      <w:r>
        <w:t>Dollery B.E.;  Worthington A.C.. (1996). The empirical analysis of fiscal illusion. Journal of Economic Surveys, v. 10, n. 3, p. 261–297. DOI: https://doi.org/10.1111/j.1467-6419.1996.tb00014.x.</w:t>
      </w:r>
    </w:p>
    <w:p>
      <w:pPr/>
      <w:r>
        <w:t>Brollo F.;  Nannicini T.. (2012). Tying your enemy's hands in close races: The politics of federal transfers in Brazil. American Political Science Review, v. 106, n. 4, p. 742–761. DOI: https://doi.org/10.1017/S0003055412000433.</w:t>
      </w:r>
    </w:p>
    <w:p>
      <w:pPr/>
      <w:r>
        <w:t>Grossman P.J.. (1994). A political theory of intergovernmental grants. Public Choice, v. 78, n. 3-4, p. 295–303. DOI: https://doi.org/10.1007/BF01047760.</w:t>
      </w:r>
    </w:p>
    <w:p>
      <w:pPr/>
      <w:r>
        <w:t>Bird R.M.;  Smart M.. (2002). Intergovernmental fiscal transfers: International lessons for developing countries. World Development, v. 30, n. 6, p. 899–912. DOI: https://doi.org/10.1016/S0305-750X(02)00016-5.</w:t>
      </w:r>
    </w:p>
    <w:p>
      <w:pPr/>
      <w:r>
        <w:t>Tsui K.-Y.. (2005). Local tax system, intergovernmental transfers and China's local fiscal disparities. Journal of Comparative Economics, v. 33, n. 1, p. 173–196. DOI: https://doi.org/10.1016/j.jce.2004.11.003.</w:t>
      </w:r>
    </w:p>
    <w:p>
      <w:pPr/>
      <w:r>
        <w:t>Bailey S.J.;  Connolly S.. (1998). The flypaper effect: Identifying areas for further research. Public Choice, v. 95, n. 3-4, p. 335–361. DOI: https://doi.org/10.1023/a:1005053921709.</w:t>
      </w:r>
    </w:p>
    <w:p>
      <w:pPr/>
      <w:r>
        <w:t>Dahlberg M.;  Mörk E.;  Rattsø J.;  Ågren H.. (2008). Using a discontinuous grant rule to identify the effect of grants on local taxes and spending. Journal of Public Economics, v. 92, n. 12, p. 2320–2335. DOI: https://doi.org/10.1016/j.jpubeco.2007.05.004.</w:t>
      </w:r>
    </w:p>
    <w:p>
      <w:pPr/>
      <w:r>
        <w:t>Sanguinetti P.;  Tommasi M.. (2004). Intergovernmental transfers and fiscal behavior insurance versus aggregate discipline. Journal of International Economics, v. 62, n. 1, p. 149–170. DOI: https://doi.org/10.1016/S0022-1996(03)00045-X.</w:t>
      </w:r>
    </w:p>
    <w:p>
      <w:pPr/>
      <w:r>
        <w:t>Litschig S.;  Morrison K.M.. (2013). The impact of intergovernmental transfers on education outcomes and poverty reduction. American Economic Journal: Applied Economics, v. 5, n. 4, p. 206–240. DOI: https://doi.org/10.1257/app.5.4.206.</w:t>
      </w:r>
    </w:p>
    <w:p>
      <w:pPr/>
      <w:r>
        <w:t>Carroll D.A.. (2009). Diversifying municipal government revenue structures: Fiscal illusion or instability?. Public Budgeting and Finance, v. 29, n. 1, p. 27–48. DOI: https://doi.org/10.1111/j.1540-5850.2009.00922.x.</w:t>
      </w:r>
    </w:p>
    <w:p>
      <w:pPr/>
      <w:r>
        <w:t>Mattos E.;  Rocha F.;  Aarvate P.. (2011). Flypaper effect revisited: Evidence for tax collection efficiency in Brazilian municipalities. Estudos Economicos, v. 41, n. 2, p. 239–267. DOI: https://doi.org/10.1590/S0101-41612011000200002.</w:t>
      </w:r>
    </w:p>
    <w:p>
      <w:pPr/>
      <w:r>
        <w:t>Winter S.;  Mouritzen P.E.. (2001). Why people want something for nothing: The role of asymmetrical illusions. European Journal of Political Research, v. 39, n. 1, p. 109–143. DOI: https://doi.org/10.1023/A:1007185029456.</w:t>
      </w:r>
    </w:p>
    <w:p>
      <w:pPr/>
      <w:r>
        <w:t>Volden C.. (1999). Asymmetric effects of intergovernmental grants: Analysis and implications for U.S. Welfare policy. Publius: The Journal of Federalism, v. 29, n. 3, p. 51–70. DOI: https://doi.org/10.1093/oxfordjournals.pubjof.a030037.</w:t>
      </w:r>
    </w:p>
    <w:p>
      <w:pPr/>
      <w:r>
        <w:t>Ashworth J.;  Heyndels B.. (1997). Politicians' preferences on local tax rates: An empirical analysis. European Journal of Political Economy, v. 13, n. 3, p. 479–502. DOI: https://doi.org/10.1016/S0176-2680(97)00015-3.</w:t>
      </w:r>
    </w:p>
    <w:p>
      <w:pPr/>
      <w:r>
        <w:t>Campbell R.J.. (2004). Leviathan and fiscal illusion in local government overlapping jurisdictions. Public Choice, v. 120, n. 3-4, p. 301–329. DOI: https://doi.org/10.1023/B:PUCH.0000044290.95428.29. [registro Scopus: tipo Review]</w:t>
      </w:r>
    </w:p>
    <w:p>
      <w:pPr/>
      <w:r>
        <w:t>Johansson E.. (2003). Intergovernmental grants as a tactical instrument: Empirical evidence from Swedish municipalities. Journal of Public Economics, v. 87, n. 5-6, p. 883–915. DOI: https://doi.org/10.1016/S0047-2727(01)00148-7.</w:t>
      </w:r>
    </w:p>
    <w:p>
      <w:pPr/>
      <w:r>
        <w:t>Hendrick R.. (2002). Revenue diversification: Fiscal illusion or flexible financial management. Public Budgeting and Finance, v. 22, n. 4, p. 52–72. DOI: https://doi.org/10.1111/1540-5850.00089.</w:t>
      </w:r>
    </w:p>
    <w:p>
      <w:pPr/>
      <w:r>
        <w:t>Treisman D.. (1996). The politics of intergovernmental transfers in post-Soviet Russia. British Journal of Political Science, v. 26, n. 3, p. 299–335. DOI: https://doi.org/10.1017/s0007123400007481.</w:t>
      </w:r>
    </w:p>
    <w:p>
      <w:pPr/>
      <w:r>
        <w:t>McGillivray M.;  Morrissey O.. (2001). Aid illusion and public sector fiscal behaviour. Journal of Development Studies, v. 37, n. 6, p. 118–136. DOI: https://doi.org/10.1080/713601086.</w:t>
      </w:r>
    </w:p>
    <w:p>
      <w:pPr/>
      <w:r>
        <w:t>Gamkhar S.;  Oates W.. (1996). Asymmetries in the response to increases and decreases in intergovernmental grants: Some empirical findings. National Tax Journal, v. 49, n. 4, p. 501–511. DOI: https://doi.org/10.1086/ntj41789223.</w:t>
      </w:r>
    </w:p>
    <w:p>
      <w:pPr/>
      <w:r>
        <w:t>Solé-Ollé A.;  Sorribas-Navarro P.. (2008). The effects of partisan alignment on the allocation of intergovernmental transfers. Differences-in-differences estimates for Spain. Journal of Public Economics, v. 92, n. 12, p. 2302–2319. DOI: https://doi.org/10.1016/j.jpubeco.2007.06.014.</w:t>
      </w:r>
    </w:p>
    <w:p>
      <w:pPr/>
      <w:r>
        <w:t>Veiga L.G.;  Pinho M.M.. (2007). The political economy of intergovernmental grants: Evidence from a maturing democracy. Public Choice, v. 133, n. 3-4, p. 457–477. DOI: https://doi.org/10.1007/s11127-007-9208-3.</w:t>
      </w:r>
    </w:p>
    <w:p>
      <w:pPr/>
      <w:r>
        <w:t>Arvate P.R.;  Avelino G.;  Tavares J.. (2009). Fiscal conservatism in a new democracy: "Sophisticated" versus "naïve" voters. Economics Letters, v. 102, n. 2, p. 125–127. DOI: https://doi.org/10.1016/j.econlet.2008.11.030.</w:t>
      </w:r>
    </w:p>
    <w:p>
      <w:pPr/>
      <w:r>
        <w:t>Vegh C.A.;  Vuletin G.. (2015). Unsticking the flypaper effect in an uncertain world. Journal of Public Economics, v. 131, p. 142–155. DOI: https://doi.org/10.1016/j.jpubeco.2015.09.001.</w:t>
      </w:r>
    </w:p>
    <w:p>
      <w:pPr/>
      <w:r>
        <w:t>Wyckoff P.G.. (1991). The elusive flypaper effect. Journal of Urban Economics, v. 30, n. 3, p. 310–328. DOI: https://doi.org/10.1016/0094-1190(91)90052-9.</w:t>
      </w:r>
    </w:p>
    <w:p>
      <w:pPr/>
      <w:r>
        <w:t>Leduc S.;  Wilson D.. (2017). Are state governments roadblocks to federal stimulus? Evidence on the flypaper effect of highway grants in the 2009 recovery Act. American Economic Journal: Economic Policy, v. 9, n. 2, p. 253–292. DOI: https://doi.org/10.1257/pol.20140371.</w:t>
      </w:r>
    </w:p>
    <w:p>
      <w:pPr/>
      <w:r>
        <w:t>Lewis B.D.;  Smoke P.. (2017). Intergovernmental Fiscal Transfers and Local Incentives and Responses: The Case of Indonesia. Fiscal Studies, v. 38, n. 1, p. 111–139. DOI: https://doi.org/10.1111/1475-5890.12080.</w:t>
      </w:r>
    </w:p>
    <w:p>
      <w:pPr/>
      <w:r>
        <w:t>Levaggi R.;  Zanola R.. (2003). Flypaper effect and sluggishness: Evidence from regional health expenditure in Italy. International Tax and Public Finance, v. 10, n. 5, p. 535–547. DOI: https://doi.org/10.1023/A:1026118222901.</w:t>
      </w:r>
    </w:p>
    <w:p>
      <w:pPr/>
      <w:r>
        <w:t>Hamilton J.H.. (1986). The flypaper effect and the deadweight loss from taxation. Journal of Urban Economics, v. 19, n. 2, p. 148–155. DOI: https://doi.org/10.1016/0094-1190(86)90036-7.</w:t>
      </w:r>
    </w:p>
    <w:p>
      <w:pPr/>
      <w:r>
        <w:t>Hamilton B.W.. (1983). The flypaper effect and other anomalies. Journal of Public Economics, v. 22, n. 3, p. 347–361. DOI: https://doi.org/10.1016/0047-2727(83)90040-3.</w:t>
      </w:r>
    </w:p>
    <w:p>
      <w:pPr/>
      <w:r>
        <w:t>Pommerehne W.W.;  Schneider F.. (1978). FISCAL ILLUSION, POLITICAL INSTITUTIONS, AND LOCAL PUBLIC SPENDING. Kyklos, v. 31, n. 3, p. 381–408. DOI: https://doi.org/10.1111/j.1467-6435.1978.tb00648.x.</w:t>
      </w:r>
    </w:p>
    <w:p>
      <w:pPr/>
      <w:r>
        <w:t>DOUGAN W.R.;  KENYON D.A.. (1988). PRESSURE GROUPS AND PUBLIC EXPENDITURES: THE FLYPAPER EFFECT RECONSIDERED. Economic Inquiry, v. 26, n. 1, p. 159–170. DOI: https://doi.org/10.1111/j.1465-7295.1988.tb01676.x.</w:t>
      </w:r>
    </w:p>
    <w:p>
      <w:pPr/>
      <w:r>
        <w:t>Misiolek W.S.;  Elder H.W.. (1988). Tax structure and the size of government: An empirical analysis of the fiscal illusion and fiscal stress arguments. Public Choice, v. 57, n. 3, p. 233–245. DOI: https://doi.org/10.1007/BF00124807.</w:t>
      </w:r>
    </w:p>
    <w:p>
      <w:pPr/>
      <w:r>
        <w:t>Grossman P.J.. (1990). The impact of federal and state grants on local government spending: A test of the fiscal illusion hypothesis. Public Finance Review, v. 18, n. 3, p. 313–327. DOI: https://doi.org/10.1177/109114219001800304.</w:t>
      </w:r>
    </w:p>
    <w:p>
      <w:pPr>
        <w:pStyle w:val="Heading2"/>
      </w:pPr>
      <w:r>
        <w:t>Referências metodológicas e fontes de dados</w:t>
      </w:r>
    </w:p>
    <w:p>
      <w:pPr/>
      <w:r>
        <w:t>ARIA, M.; CUCCURULLO, C. bibliometrix: An R-tool for comprehensive science mapping analysis. Journal of Informetrics, v. 11, n. 4, p. 959–975, 2017. DOI: https://doi.org/10.1016/j.joi.2017.08.007.</w:t>
      </w:r>
    </w:p>
    <w:p>
      <w:pPr/>
      <w:r>
        <w:t>BAKER, A. C.; LARCKER, D. F.; WANG, C. C. Y. How much should we trust staggered difference-in-differences estimates? Journal of Financial Economics, v. 144, n. 2, p. 370–395, 2022. DOI: https://doi.org/10.1016/j.jfineco.2022.01.004.</w:t>
      </w:r>
    </w:p>
    <w:p>
      <w:pPr/>
      <w:r>
        <w:t>OATES, W. E. Fiscal Federalism. New York: Harcourt Brace Jovanovich, 1972.</w:t>
      </w:r>
    </w:p>
    <w:p>
      <w:pPr/>
      <w:r>
        <w:t>SECRETARIA DO TESOURO NACIONAL. SICONFI: API e documentação. Disponível em: https://apidatalake.tesouro.gov.br/docs/siconfi/.</w:t>
      </w:r>
    </w:p>
    <w:p>
      <w:pPr/>
      <w:r>
        <w:t>SECRETARIA DO TESOURO NACIONAL. SICONFI: consulta de Contas Anuais/FINBRA. Disponível em: https://siconfi.tesouro.gov.br/siconfi/pages/public/consulta_finbra/finbra_list.jsf.</w:t>
      </w:r>
    </w:p>
    <w:p>
      <w:pPr/>
      <w:r>
        <w:t>FEDERAL RESERVE BANK OF ST. LOUIS. FRED: General Government Revenue for Nigeria (% of GDP), série NGAGGRG01GDPPT. Disponível em: https://fred.stlouisfed.org/data/NGAGGRG01GDPPT.</w:t>
      </w:r>
    </w:p>
    <w:p>
      <w:pPr/>
      <w:r>
        <w:t>BIBLIOMETRIX. Biblioshiny: web interface for bibliometrix. Disponível em: https://www.bibliometrix.org/biblioshiny.</w:t>
      </w:r>
    </w:p>
    <w:p>
      <w:pPr>
        <w:pStyle w:val="Heading2"/>
      </w:pPr>
      <w:r>
        <w:t>Status de validação e limitações para submissão</w:t>
      </w:r>
    </w:p>
    <w:p>
      <w:pPr/>
      <w:r>
        <w:t>A matriz bibliográfica e a exportação usada na bibliometria foram alinhadas nesta versão: ambas se referem aos mesmos 80 registros Scopus. O arquivo histórico do cruzamento com a lista de candidatos anterior foi preservado no pacote para rastreabilidade; ele não é mais a matriz principal do artigo.</w:t>
      </w:r>
    </w:p>
    <w:p>
      <w:pPr/>
      <w:r>
        <w:t>Atualização de auditoria e limites de validação (25/10/2026)</w:t>
      </w:r>
    </w:p>
    <w:p>
      <w:r>
        <w:t>Conferência interna: foram identificados os totais de receita bruta, deduções disponíveis, despesa empenhada e população nos arquivos FINBRA recebidos para 20 combinações de município e ano. A população presente na exportação de receita coincide com a da exportação de despesa em 20 de 20 combinações. Os indicadores per capita desta versão usam essa série única para evitar misturar denominadores.</w:t>
      </w:r>
    </w:p>
    <w:p>
      <w:r>
        <w:t>Validação externa pendente: a página oficial do SICONFI permite consultar Contas Anuais/FINBRA e apresenta período de homologação/retificação; a API oficial documenta o acesso a DCA e extrato de entregas. Porém, nesta revisão não foi obtida evidência individual de que cada número corresponda à última declaração retificada. Por isso, a validação oficial final não é declarada concluída.</w:t>
      </w:r>
    </w:p>
    <w:p>
      <w:r>
        <w:t>A variável de receita é receita bruta menos deduções identificadas nos layouts recebidos. Como as deduções variam por ano, não equivale necessariamente à receita líquida oficial integral. A revisão teórica e a bibliometria estão alinhadas ao mesmo corpus Scopus de 80 registros; o histórico do cruzamento com a antiga lista de candidatos foi mantido separadamente no pacote.</w:t>
      </w:r>
    </w:p>
    <w:p>
      <w:r>
        <w:t>Fontes oficiais de consulta: SICONFI FINBRA (https://siconfi.tesouro.gov.br/siconfi/pages/public/consulta_finbra/finbra_list.jsf); documentação da API SICONFI (https://apidatalake.tesouro.gov.br/docs/siconfi/); IBGE Estimativas da População (https://www.ibge.gov.br/estatisticas/sociais/populacao/9103-estimativas-de-populacao.html).</w:t>
      </w:r>
    </w:p>
    <w:sectPr>
      <w:pgMar w:top="1080" w:bottom="1080"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Transferências intergovernamentais, ilusão fiscal e efeito flypaper — versão ampliada</dc:title>
  <dc:creator>Alessandro Takeda Boarato Meneguin</dc:creator>
  <cp:keywords/>
  <dcterms:created xsi:type="dcterms:W3CDTF">2026-10-25T02:42:15Z</dcterms:created>
  <dcterms:modified xsi:type="dcterms:W3CDTF">2026-10-25T02:42:15Z</dcterms:modified>
  <dc:subject>Artigo P2 — Finanças do Setor Público</dc:subject>
  <dc:description>Versão consolidada com limitações empíricas e bibliométricas explicitadas; não declarar validação integral.</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