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864"/>
          <w:sz w:val="28"/>
          <w:szCs w:val="28"/>
        </w:rPr>
        <w:t xml:space="preserve">UNIVERSIDAD PERUANA UNIÓN</w:t>
      </w:r>
    </w:p>
    <w:p>
      <w:pPr>
        <w:spacing w:after="40"/>
        <w:jc w:val="center"/>
      </w:pPr>
      <w:r>
        <w:rPr>
          <w:color w:val="44546A"/>
          <w:sz w:val="24"/>
          <w:szCs w:val="24"/>
        </w:rPr>
        <w:t xml:space="preserve">Escuela Profesional de Ingeniería de Sistemas</w:t>
      </w:r>
    </w:p>
    <w:p>
      <w:pPr>
        <w:spacing w:after="600"/>
        <w:jc w:val="center"/>
      </w:pPr>
      <w:r>
        <w:rPr>
          <w:i/>
          <w:iCs/>
          <w:color w:val="666666"/>
          <w:sz w:val="22"/>
          <w:szCs w:val="22"/>
        </w:rPr>
        <w:t xml:space="preserve">Proyecto de Evaluación de Fin de Carrera</w:t>
      </w:r>
    </w:p>
    <w:p>
      <w:pPr>
        <w:pBdr>
          <w:top w:val="single" w:color="C55A11" w:sz="6"/>
        </w:pBdr>
        <w:spacing w:after="0" w:before="400"/>
        <w:jc w:val="center"/>
      </w:pPr>
      <w:r>
        <w:t xml:space="preserve"/>
      </w:r>
    </w:p>
    <w:p>
      <w:pPr>
        <w:spacing w:after="120" w:before="300"/>
        <w:jc w:val="center"/>
      </w:pPr>
      <w:r>
        <w:rPr>
          <w:b/>
          <w:bCs/>
          <w:color w:val="C55A11"/>
          <w:sz w:val="22"/>
          <w:szCs w:val="22"/>
        </w:rPr>
        <w:t xml:space="preserve">LÍNEA: GESTIÓN DE TECNOLOGÍAS DE INFORMACIÓN (GTI)</w:t>
      </w:r>
    </w:p>
    <w:p>
      <w:pPr>
        <w:spacing w:after="120"/>
        <w:jc w:val="center"/>
      </w:pPr>
      <w:r>
        <w:rPr>
          <w:b/>
          <w:bCs/>
          <w:color w:val="44546A"/>
          <w:sz w:val="24"/>
          <w:szCs w:val="24"/>
        </w:rPr>
        <w:t xml:space="preserve">ENTREGABLE 1 · COMPONENTE 2</w:t>
      </w:r>
    </w:p>
    <w:p>
      <w:pPr>
        <w:spacing w:after="40"/>
        <w:jc w:val="center"/>
      </w:pPr>
      <w:r>
        <w:rPr>
          <w:b/>
          <w:bCs/>
          <w:color w:val="1F3864"/>
          <w:sz w:val="44"/>
          <w:szCs w:val="44"/>
        </w:rPr>
        <w:t xml:space="preserve">BUSINESS CASE</w:t>
      </w:r>
    </w:p>
    <w:p>
      <w:pPr>
        <w:pBdr>
          <w:bottom w:val="single" w:color="C55A11" w:sz="6"/>
        </w:pBdr>
        <w:spacing w:after="400"/>
        <w:jc w:val="center"/>
      </w:pPr>
      <w:r>
        <w:rPr>
          <w:b/>
          <w:bCs/>
          <w:color w:val="2E5496"/>
          <w:sz w:val="28"/>
          <w:szCs w:val="28"/>
        </w:rPr>
        <w:t xml:space="preserve">Caso de Negocio del Proyecto</w:t>
      </w:r>
    </w:p>
    <w:p>
      <w:pPr>
        <w:spacing w:after="80" w:before="500"/>
        <w:jc w:val="center"/>
      </w:pPr>
      <w:r>
        <w:rPr>
          <w:color w:val="555555"/>
          <w:sz w:val="22"/>
          <w:szCs w:val="22"/>
        </w:rPr>
        <w:t xml:space="preserve">Empresa caso de estudio:</w:t>
      </w:r>
    </w:p>
    <w:p>
      <w:pPr>
        <w:spacing w:after="40"/>
        <w:jc w:val="center"/>
      </w:pPr>
      <w:r>
        <w:rPr>
          <w:b/>
          <w:bCs/>
          <w:color w:val="1F3864"/>
          <w:sz w:val="26"/>
          <w:szCs w:val="26"/>
        </w:rPr>
        <w:t xml:space="preserve">WISP Ingeniería en Redes y Telecomunicaciones</w:t>
      </w:r>
    </w:p>
    <w:p>
      <w:pPr>
        <w:spacing w:after="600"/>
        <w:jc w:val="center"/>
      </w:pPr>
      <w:r>
        <w:rPr>
          <w:color w:val="555555"/>
          <w:sz w:val="22"/>
          <w:szCs w:val="22"/>
        </w:rPr>
        <w:t xml:space="preserve">Región Puno – Perú</w:t>
      </w:r>
    </w:p>
    <w:p>
      <w:pPr>
        <w:spacing w:after="40" w:before="400"/>
        <w:jc w:val="center"/>
      </w:pPr>
      <w:r>
        <w:rPr>
          <w:i/>
          <w:iCs/>
          <w:color w:val="666666"/>
          <w:sz w:val="20"/>
          <w:szCs w:val="20"/>
        </w:rPr>
        <w:t xml:space="preserve">Proyecto: Sistema de Gestión Integral para ISP de Fibra Óptica Multi-Zona</w:t>
      </w:r>
    </w:p>
    <w:p>
      <w:r>
        <w:br w:type="page"/>
      </w:r>
    </w:p>
    <w:p>
      <w:pPr>
        <w:pStyle w:val="Heading1"/>
        <w:spacing w:after="160" w:before="320"/>
      </w:pPr>
      <w:r>
        <w:rPr>
          <w:b/>
          <w:bCs/>
          <w:color w:val="1F3864"/>
          <w:sz w:val="32"/>
          <w:szCs w:val="32"/>
        </w:rP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3864"/>
          <w:sz w:val="32"/>
          <w:szCs w:val="32"/>
        </w:rPr>
        <w:t xml:space="preserve">Descripción del Producto</w:t>
      </w:r>
    </w:p>
    <w:p>
      <w:pPr>
        <w:spacing w:after="120" w:line="276"/>
        <w:jc w:val="both"/>
      </w:pPr>
      <w:r>
        <w:rPr>
          <w:color w:val="222222"/>
          <w:sz w:val="22"/>
          <w:szCs w:val="22"/>
        </w:rPr>
        <w:t xml:space="preserve">El presente documento constituye el Business Case (Caso de Negocio) del Proyecto de Evaluación de Fin de Carrera para la empresa WISP Ingeniería en Redes y Telecomunicaciones. Es un documento formal que justifica la viabilidad y conveniencia del proyecto de tecnologías de información, presentando el problema identificado, los objetivos del proyecto, las alternativas evaluadas y la solución seleccionada, sustentando su aporte de valor.</w:t>
      </w:r>
    </w:p>
    <w:p>
      <w:pPr>
        <w:spacing w:after="120" w:line="276"/>
        <w:jc w:val="both"/>
      </w:pPr>
      <w:r>
        <w:rPr>
          <w:color w:val="222222"/>
          <w:sz w:val="22"/>
          <w:szCs w:val="22"/>
        </w:rPr>
        <w:t xml:space="preserve">El análisis incluye la evaluación de beneficios tangibles e intangibles, la estimación de la inversión inicial, los costos operativos y de mantenimiento, el retorno esperado mediante indicadores financieros (ROI, Payback, VAN y TIR) y una evaluación preliminar de riesgos, demostrando que la iniciativa contribuye estratégicamente al desempeño organizacional de WISP.</w:t>
      </w:r>
    </w:p>
    <w:tbl>
      <w:tblPr>
        <w:tblW w:type="dxa" w:w="9360"/>
        <w:tblBorders>
          <w:top w:val="single" w:color="2E5496" w:sz="2"/>
          <w:left w:val="single" w:color="2E5496" w:sz="24"/>
          <w:bottom w:val="single" w:color="2E5496" w:sz="2"/>
          <w:right w:val="single" w:color="2E5496" w:sz="2"/>
          <w:insideH w:val="single" w:color="auto" w:sz="4"/>
          <w:insideV w:val="single" w:color="auto" w:sz="4"/>
        </w:tblBorders>
      </w:tblPr>
      <w:tblGrid>
        <w:gridCol w:w="9360"/>
      </w:tblGrid>
      <w:tr>
        <w:tc>
          <w:tcPr>
            <w:tcW w:type="dxa" w:w="9360"/>
            <w:shd w:fill="D6E0F0" w:val="clear"/>
            <w:tcMar>
              <w:top w:type="dxa" w:w="100"/>
              <w:left w:type="dxa" w:w="160"/>
              <w:bottom w:type="dxa" w:w="100"/>
              <w:right w:type="dxa" w:w="160"/>
            </w:tcMar>
          </w:tcPr>
          <w:p>
            <w:pPr>
              <w:spacing w:after="60"/>
            </w:pPr>
            <w:r>
              <w:rPr>
                <w:b/>
                <w:bCs/>
                <w:color w:val="2E5496"/>
                <w:sz w:val="22"/>
                <w:szCs w:val="22"/>
              </w:rPr>
              <w:t xml:space="preserve">Continuidad con el Entregable 1 — Diagnóstico</w:t>
            </w:r>
          </w:p>
          <w:p>
            <w:pPr>
              <w:jc w:val="both"/>
            </w:pPr>
            <w:r>
              <w:rPr>
                <w:color w:val="333333"/>
                <w:sz w:val="21"/>
                <w:szCs w:val="21"/>
              </w:rPr>
              <w:t xml:space="preserve">Este Business Case toma como insumo el diagnóstico organizacional previamente desarrollado (contexto, cadena de valor, FODA, 5 Fuerzas de Porter y problema identificado). Mientras el diagnóstico respondió "¿cuál es el problema y por qué importa?", este documento responde "¿vale la pena resolverlo, cómo y con qué retorno?".</w:t>
            </w:r>
          </w:p>
        </w:tc>
      </w:tr>
    </w:tbl>
    <w:p>
      <w:r>
        <w:br w:type="page"/>
      </w:r>
    </w:p>
    <w:p>
      <w:pPr>
        <w:pStyle w:val="Heading1"/>
        <w:spacing w:after="160" w:before="320"/>
      </w:pPr>
      <w:r>
        <w:rPr>
          <w:b/>
          <w:bCs/>
          <w:color w:val="1F3864"/>
          <w:sz w:val="32"/>
          <w:szCs w:val="32"/>
        </w:rPr>
        <w:t xml:space="preserve">2.1 Justificación del Proyecto</w:t>
      </w:r>
    </w:p>
    <w:p>
      <w:pPr>
        <w:pStyle w:val="Heading2"/>
        <w:spacing w:after="120" w:before="260"/>
      </w:pPr>
      <w:r>
        <w:rPr>
          <w:b/>
          <w:bCs/>
          <w:color w:val="2E5496"/>
          <w:sz w:val="26"/>
          <w:szCs w:val="26"/>
        </w:rPr>
        <w:t xml:space="preserve">Problema que se resuelve</w:t>
      </w:r>
    </w:p>
    <w:p>
      <w:pPr>
        <w:spacing w:after="120" w:line="276"/>
        <w:jc w:val="both"/>
      </w:pPr>
      <w:r>
        <w:rPr>
          <w:color w:val="222222"/>
          <w:sz w:val="22"/>
          <w:szCs w:val="22"/>
        </w:rPr>
        <w:t xml:space="preserve">Conforme al diagnóstico realizado, WISP gestiona la operación de aproximadamente 455 clientes de internet por fibra óptica distribuidos en 13 zonas geográficamente dispersas, mediante un sistema heredado deficiente (PHP) y procesos manuales apoyados en WhatsApp y registros en papel. Esta forma de operar genera pérdida y dispersión de información, ausencia de trazabilidad en la captación e instalación, gestión manual y repetitiva de la red en cada MikroTik, y una excesiva dependencia de una sola persona.</w:t>
      </w:r>
    </w:p>
    <w:p>
      <w:pPr>
        <w:spacing w:after="120" w:line="276"/>
        <w:jc w:val="both"/>
      </w:pPr>
      <w:r>
        <w:rPr>
          <w:color w:val="222222"/>
          <w:sz w:val="22"/>
          <w:szCs w:val="22"/>
        </w:rPr>
        <w:t xml:space="preserve">El proyecto resuelve este problema mediante el desarrollo e implementación de un Sistema de Gestión Integral para ISP de Fibra Óptica Multi-Zona, compuesto por un sistema web de administración, una aplicación móvil con roles de técnico y vendedor, y la integración directa con los 13 MikroTiks vía VPN (WireGuard) y la API de RouterOS, junto con la automatización de notificaciones por WhatsApp.</w:t>
      </w:r>
    </w:p>
    <w:p>
      <w:pPr>
        <w:pStyle w:val="Heading2"/>
        <w:spacing w:after="120" w:before="260"/>
      </w:pPr>
      <w:r>
        <w:rPr>
          <w:b/>
          <w:bCs/>
          <w:color w:val="2E5496"/>
          <w:sz w:val="26"/>
          <w:szCs w:val="26"/>
        </w:rPr>
        <w:t xml:space="preserve">Objetivos del proyecto (SMART)</w:t>
      </w:r>
    </w:p>
    <w:tbl>
      <w:tblPr>
        <w:tblW w:type="dxa" w:w="9360"/>
        <w:tblBorders>
          <w:top w:val="single" w:color="44546A" w:sz="2"/>
          <w:left w:val="single" w:color="44546A" w:sz="2"/>
          <w:bottom w:val="single" w:color="44546A" w:sz="2"/>
          <w:right w:val="single" w:color="44546A" w:sz="2"/>
          <w:insideH w:val="single" w:color="auto" w:sz="4"/>
          <w:insideV w:val="single" w:color="auto" w:sz="4"/>
        </w:tblBorders>
      </w:tblPr>
      <w:tblGrid>
        <w:gridCol w:w="9360"/>
      </w:tblGrid>
      <w:tr>
        <w:tc>
          <w:tcPr>
            <w:tcW w:type="dxa" w:w="9360"/>
            <w:shd w:fill="F2F2F2" w:val="clear"/>
            <w:tcMar>
              <w:top w:type="dxa" w:w="70"/>
              <w:left w:type="dxa" w:w="140"/>
              <w:bottom w:type="dxa" w:w="70"/>
              <w:right w:type="dxa" w:w="140"/>
            </w:tcMar>
          </w:tcPr>
          <w:p>
            <w:pPr>
              <w:jc w:val="both"/>
            </w:pPr>
            <w:r>
              <w:rPr>
                <w:b/>
                <w:bCs/>
                <w:color w:val="2E5496"/>
                <w:sz w:val="19"/>
                <w:szCs w:val="19"/>
              </w:rPr>
              <w:t xml:space="preserve">Fundamento metodológico: </w:t>
            </w:r>
            <w:r>
              <w:rPr>
                <w:i/>
                <w:iCs/>
                <w:color w:val="444444"/>
                <w:sz w:val="19"/>
                <w:szCs w:val="19"/>
              </w:rPr>
              <w:t xml:space="preserve">Los objetivos se formulan siguiendo el criterio SMART propuesto por George T. Doran (1981), según el cual todo objetivo debe ser Específico (Specific), Medible (Measurable), Alcanzable (Achievable), Relevante (Relevant) y Temporal (Time-bound).</w:t>
            </w:r>
          </w:p>
        </w:tc>
      </w:tr>
    </w:tbl>
    <w:p>
      <w:pPr>
        <w:spacing w:after="80"/>
      </w:pPr>
      <w:r>
        <w:t xml:space="preserve"/>
      </w:r>
    </w:p>
    <w:p>
      <w:pPr>
        <w:spacing w:after="120" w:line="276"/>
        <w:jc w:val="both"/>
      </w:pPr>
      <w:r>
        <w:rPr>
          <w:b/>
          <w:bCs/>
          <w:color w:val="222222"/>
          <w:sz w:val="22"/>
          <w:szCs w:val="22"/>
        </w:rPr>
        <w:t xml:space="preserve">Objetivo general:</w:t>
      </w:r>
    </w:p>
    <w:p>
      <w:pPr>
        <w:spacing w:after="120" w:line="276"/>
        <w:jc w:val="both"/>
      </w:pPr>
      <w:r>
        <w:rPr>
          <w:color w:val="222222"/>
          <w:sz w:val="22"/>
          <w:szCs w:val="22"/>
        </w:rPr>
        <w:t xml:space="preserve">Desarrollar e implementar, en un plazo de 5 meses, un sistema de gestión integral (web + móvil) que centralice y automatice los procesos de captación, instalación, activación y control de clientes de WISP en sus 13 zonas, reemplazando el uso de WhatsApp y el sistema heredado, y habilitando la escalabilidad de la operación.</w:t>
      </w:r>
    </w:p>
    <w:p>
      <w:pPr>
        <w:spacing w:after="80"/>
      </w:pPr>
      <w:r>
        <w:t xml:space="preserve"/>
      </w:r>
    </w:p>
    <w:p>
      <w:pPr>
        <w:spacing w:after="120" w:line="276"/>
        <w:jc w:val="both"/>
      </w:pPr>
      <w:r>
        <w:rPr>
          <w:b/>
          <w:bCs/>
          <w:color w:val="222222"/>
          <w:sz w:val="22"/>
          <w:szCs w:val="22"/>
        </w:rPr>
        <w:t xml:space="preserve">Objetivos específicos (SMART):</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900"/>
        <w:gridCol w:w="5460"/>
        <w:gridCol w:w="3000"/>
      </w:tblGrid>
      <w:tr>
        <w:trPr>
          <w:tblHeader/>
        </w:trPr>
        <w:tc>
          <w:tcPr>
            <w:tcW w:type="dxa" w:w="9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ID</w:t>
            </w:r>
          </w:p>
        </w:tc>
        <w:tc>
          <w:tcPr>
            <w:tcW w:type="dxa" w:w="54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Objetivo específico</w:t>
            </w:r>
          </w:p>
        </w:tc>
        <w:tc>
          <w:tcPr>
            <w:tcW w:type="dxa" w:w="30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Métrica de verificación</w:t>
            </w:r>
          </w:p>
        </w:tc>
      </w:tr>
      <w:tr>
        <w:tc>
          <w:tcPr>
            <w:tcW w:type="dxa" w:w="9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OP-1</w:t>
            </w:r>
          </w:p>
        </w:tc>
        <w:tc>
          <w:tcPr>
            <w:tcW w:type="dxa" w:w="54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Digitalizar el 100% del proceso de captación mediante una app móvil para vendedores, eliminando el registro en papel/WhatsApp, al finalizar el proyecto.</w:t>
            </w:r>
          </w:p>
        </w:tc>
        <w:tc>
          <w:tcPr>
            <w:tcW w:type="dxa" w:w="30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 de prospectos registrados por app vs. total</w:t>
            </w:r>
          </w:p>
        </w:tc>
      </w:tr>
      <w:tr>
        <w:tc>
          <w:tcPr>
            <w:tcW w:type="dxa" w:w="9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OP-2</w:t>
            </w:r>
          </w:p>
        </w:tc>
        <w:tc>
          <w:tcPr>
            <w:tcW w:type="dxa" w:w="54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Implementar el registro estructurado del 100% de las instalaciones técnicas (fotos de caja NAP, borne, equipos, fachada) vinculado a cada cliente.</w:t>
            </w:r>
          </w:p>
        </w:tc>
        <w:tc>
          <w:tcPr>
            <w:tcW w:type="dxa" w:w="30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 de instalaciones con evidencia completa en el sistema</w:t>
            </w:r>
          </w:p>
        </w:tc>
      </w:tr>
      <w:tr>
        <w:tc>
          <w:tcPr>
            <w:tcW w:type="dxa" w:w="9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OP-3</w:t>
            </w:r>
          </w:p>
        </w:tc>
        <w:tc>
          <w:tcPr>
            <w:tcW w:type="dxa" w:w="54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Automatizar la gestión de usuarios PPPoE (alta, corte, reactivación) sobre los 13 MikroTiks desde el sistema central vía API de RouterOS.</w:t>
            </w:r>
          </w:p>
        </w:tc>
        <w:tc>
          <w:tcPr>
            <w:tcW w:type="dxa" w:w="30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N° de MikroTiks integrados / 13</w:t>
            </w:r>
          </w:p>
        </w:tc>
      </w:tr>
      <w:tr>
        <w:tc>
          <w:tcPr>
            <w:tcW w:type="dxa" w:w="9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OP-4</w:t>
            </w:r>
          </w:p>
        </w:tc>
        <w:tc>
          <w:tcPr>
            <w:tcW w:type="dxa" w:w="54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Centralizar en una única base de datos la información de los ≈455 clientes, migrando los datos dispersos del sistema heredado y los MikroTiks.</w:t>
            </w:r>
          </w:p>
        </w:tc>
        <w:tc>
          <w:tcPr>
            <w:tcW w:type="dxa" w:w="30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 de clientes migrados y consolidados</w:t>
            </w:r>
          </w:p>
        </w:tc>
      </w:tr>
      <w:tr>
        <w:tc>
          <w:tcPr>
            <w:tcW w:type="dxa" w:w="9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OP-5</w:t>
            </w:r>
          </w:p>
        </w:tc>
        <w:tc>
          <w:tcPr>
            <w:tcW w:type="dxa" w:w="54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Reducir el tiempo administrativo de gestión diaria en al menos un 50% respecto a la operación manual actual, a los 3 meses de la puesta en marcha.</w:t>
            </w:r>
          </w:p>
        </w:tc>
        <w:tc>
          <w:tcPr>
            <w:tcW w:type="dxa" w:w="30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Horas/día de gestión antes vs. después</w:t>
            </w:r>
          </w:p>
        </w:tc>
      </w:tr>
    </w:tbl>
    <w:p>
      <w:pPr>
        <w:spacing w:after="80"/>
      </w:pPr>
      <w:r>
        <w:t xml:space="preserve"/>
      </w:r>
    </w:p>
    <w:p>
      <w:pPr>
        <w:pStyle w:val="Heading2"/>
        <w:spacing w:after="120" w:before="260"/>
      </w:pPr>
      <w:r>
        <w:rPr>
          <w:b/>
          <w:bCs/>
          <w:color w:val="2E5496"/>
          <w:sz w:val="26"/>
          <w:szCs w:val="26"/>
        </w:rPr>
        <w:t xml:space="preserve">Beneficios esperados</w:t>
      </w:r>
    </w:p>
    <w:p>
      <w:pPr>
        <w:spacing w:after="120" w:line="276"/>
        <w:jc w:val="both"/>
      </w:pPr>
      <w:r>
        <w:rPr>
          <w:color w:val="222222"/>
          <w:sz w:val="22"/>
          <w:szCs w:val="22"/>
        </w:rPr>
        <w:t xml:space="preserve">La ejecución del proyecto generará beneficios en tres niveles: operativo, estratégico y para el cliente final.</w:t>
      </w:r>
    </w:p>
    <w:p>
      <w:pPr>
        <w:pStyle w:val="ListParagraph"/>
        <w:numPr>
          <w:ilvl w:val="0"/>
          <w:numId w:val="2"/>
        </w:numPr>
        <w:spacing w:after="60" w:line="264"/>
      </w:pPr>
      <w:r>
        <w:rPr>
          <w:b/>
          <w:bCs/>
          <w:sz w:val="22"/>
          <w:szCs w:val="22"/>
        </w:rPr>
        <w:t xml:space="preserve">Operativos: </w:t>
      </w:r>
      <w:r>
        <w:rPr>
          <w:sz w:val="22"/>
          <w:szCs w:val="22"/>
        </w:rPr>
        <w:t xml:space="preserve">eliminación del retrabajo manual, reducción de errores, trazabilidad completa del ciclo de vida del cliente y automatización de la gestión de red.</w:t>
      </w:r>
    </w:p>
    <w:p>
      <w:pPr>
        <w:pStyle w:val="ListParagraph"/>
        <w:numPr>
          <w:ilvl w:val="0"/>
          <w:numId w:val="2"/>
        </w:numPr>
        <w:spacing w:after="60" w:line="264"/>
      </w:pPr>
      <w:r>
        <w:rPr>
          <w:b/>
          <w:bCs/>
          <w:sz w:val="22"/>
          <w:szCs w:val="22"/>
        </w:rPr>
        <w:t xml:space="preserve">Estratégicos: </w:t>
      </w:r>
      <w:r>
        <w:rPr>
          <w:sz w:val="22"/>
          <w:szCs w:val="22"/>
        </w:rPr>
        <w:t xml:space="preserve">habilitación de la escalabilidad para expandirse a nuevos distritos, reducción de la dependencia de una sola persona y disponibilidad de información para la toma de decisiones.</w:t>
      </w:r>
    </w:p>
    <w:p>
      <w:pPr>
        <w:pStyle w:val="ListParagraph"/>
        <w:numPr>
          <w:ilvl w:val="0"/>
          <w:numId w:val="2"/>
        </w:numPr>
        <w:spacing w:after="60" w:line="264"/>
      </w:pPr>
      <w:r>
        <w:rPr>
          <w:b/>
          <w:bCs/>
          <w:sz w:val="22"/>
          <w:szCs w:val="22"/>
        </w:rPr>
        <w:t xml:space="preserve">Para el cliente: </w:t>
      </w:r>
      <w:r>
        <w:rPr>
          <w:sz w:val="22"/>
          <w:szCs w:val="22"/>
        </w:rPr>
        <w:t xml:space="preserve">activación más rápida del servicio, atención más ágil de averías y comunicación más ordenada.</w:t>
      </w:r>
    </w:p>
    <w:p>
      <w:r>
        <w:br w:type="page"/>
      </w:r>
    </w:p>
    <w:p>
      <w:pPr>
        <w:pStyle w:val="Heading1"/>
        <w:spacing w:after="160" w:before="320"/>
      </w:pPr>
      <w:r>
        <w:rPr>
          <w:b/>
          <w:bCs/>
          <w:color w:val="1F3864"/>
          <w:sz w:val="32"/>
          <w:szCs w:val="32"/>
        </w:rPr>
        <w:t xml:space="preserve">2.2 Análisis de Alternativas</w:t>
      </w:r>
    </w:p>
    <w:p>
      <w:pPr>
        <w:pStyle w:val="Heading2"/>
        <w:spacing w:after="120" w:before="260"/>
      </w:pPr>
      <w:r>
        <w:rPr>
          <w:b/>
          <w:bCs/>
          <w:color w:val="2E5496"/>
          <w:sz w:val="26"/>
          <w:szCs w:val="26"/>
        </w:rPr>
        <w:t xml:space="preserve">Alternativas tecnológicas consideradas</w:t>
      </w:r>
    </w:p>
    <w:p>
      <w:pPr>
        <w:spacing w:after="120" w:line="276"/>
        <w:jc w:val="both"/>
      </w:pPr>
      <w:r>
        <w:rPr>
          <w:color w:val="222222"/>
          <w:sz w:val="22"/>
          <w:szCs w:val="22"/>
        </w:rPr>
        <w:t xml:space="preserve">Se evaluaron cuatro alternativas para resolver el problema identificado, desde no intervenir hasta el desarrollo de una solución propia a medida:</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000"/>
        <w:gridCol w:w="3160"/>
        <w:gridCol w:w="2100"/>
        <w:gridCol w:w="2100"/>
      </w:tblGrid>
      <w:tr>
        <w:trPr>
          <w:tblHeader/>
        </w:trPr>
        <w:tc>
          <w:tcPr>
            <w:tcW w:type="dxa" w:w="20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Alternativa</w:t>
            </w:r>
          </w:p>
        </w:tc>
        <w:tc>
          <w:tcPr>
            <w:tcW w:type="dxa" w:w="31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Descripción</w:t>
            </w:r>
          </w:p>
        </w:tc>
        <w:tc>
          <w:tcPr>
            <w:tcW w:type="dxa" w:w="21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Ventaja</w:t>
            </w:r>
          </w:p>
        </w:tc>
        <w:tc>
          <w:tcPr>
            <w:tcW w:type="dxa" w:w="21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Desventaja</w:t>
            </w:r>
          </w:p>
        </w:tc>
      </w:tr>
      <w:tr>
        <w:tc>
          <w:tcPr>
            <w:tcW w:type="dxa" w:w="20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A1. Statu quo</w:t>
            </w:r>
          </w:p>
        </w:tc>
        <w:tc>
          <w:tcPr>
            <w:tcW w:type="dxa" w:w="3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Mantener el sistema heredado (PHP) y la operación por WhatsApp.</w:t>
            </w:r>
          </w:p>
        </w:tc>
        <w:tc>
          <w:tcPr>
            <w:tcW w:type="dxa" w:w="21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Costo cero inmediato.</w:t>
            </w:r>
          </w:p>
        </w:tc>
        <w:tc>
          <w:tcPr>
            <w:tcW w:type="dxa" w:w="21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No resuelve nada; el problema se agrava con el crecimiento.</w:t>
            </w:r>
          </w:p>
        </w:tc>
      </w:tr>
      <w:tr>
        <w:tc>
          <w:tcPr>
            <w:tcW w:type="dxa" w:w="20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A2. Software ISP comercial</w:t>
            </w:r>
          </w:p>
        </w:tc>
        <w:tc>
          <w:tcPr>
            <w:tcW w:type="dxa" w:w="3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Adquirir una plataforma existente (ej. WISPHub, Mikrowisp, SmartOLT).</w:t>
            </w:r>
          </w:p>
        </w:tc>
        <w:tc>
          <w:tcPr>
            <w:tcW w:type="dxa" w:w="21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Rápido de adoptar; ya probado.</w:t>
            </w:r>
          </w:p>
        </w:tc>
        <w:tc>
          <w:tcPr>
            <w:tcW w:type="dxa" w:w="21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Costo mensual por suscripción; poca personalización; dependencia del proveedor; puede no cubrir apps de campo a medida.</w:t>
            </w:r>
          </w:p>
        </w:tc>
      </w:tr>
      <w:tr>
        <w:tc>
          <w:tcPr>
            <w:tcW w:type="dxa" w:w="20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A3. Desarrollo externo</w:t>
            </w:r>
          </w:p>
        </w:tc>
        <w:tc>
          <w:tcPr>
            <w:tcW w:type="dxa" w:w="3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Contratar una empresa de software para desarrollo a medida.</w:t>
            </w:r>
          </w:p>
        </w:tc>
        <w:tc>
          <w:tcPr>
            <w:tcW w:type="dxa" w:w="21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Solución personalizada.</w:t>
            </w:r>
          </w:p>
        </w:tc>
        <w:tc>
          <w:tcPr>
            <w:tcW w:type="dxa" w:w="21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Costo elevado (S/ 25 000–40 000); plazos largos; dependencia del proveedor para mantenimiento.</w:t>
            </w:r>
          </w:p>
        </w:tc>
      </w:tr>
      <w:tr>
        <w:tc>
          <w:tcPr>
            <w:tcW w:type="dxa" w:w="2000"/>
            <w:shd w:fill="E2EFDA" w:val="clear"/>
            <w:tcMar>
              <w:top w:type="dxa" w:w="60"/>
              <w:left w:type="dxa" w:w="100"/>
              <w:bottom w:type="dxa" w:w="60"/>
              <w:right w:type="dxa" w:w="100"/>
            </w:tcMar>
            <w:vAlign w:val="center"/>
          </w:tcPr>
          <w:p>
            <w:pPr>
              <w:spacing w:after="40" w:before="40"/>
              <w:jc w:val="left"/>
            </w:pPr>
            <w:r>
              <w:rPr>
                <w:b/>
                <w:bCs/>
                <w:color w:val="548235"/>
                <w:sz w:val="20"/>
                <w:szCs w:val="20"/>
              </w:rPr>
              <w:t xml:space="preserve">A4. Desarrollo propio</w:t>
            </w:r>
          </w:p>
        </w:tc>
        <w:tc>
          <w:tcPr>
            <w:tcW w:type="dxa" w:w="3160"/>
            <w:shd w:fill="E2EFDA"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Desarrollar la solución a medida con el equipo del proyecto (4 integrantes).</w:t>
            </w:r>
          </w:p>
        </w:tc>
        <w:tc>
          <w:tcPr>
            <w:tcW w:type="dxa" w:w="2100"/>
            <w:shd w:fill="E2EFDA"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Personalización total; sin costo de desarrollo para WISP; conocimiento interno.</w:t>
            </w:r>
          </w:p>
        </w:tc>
        <w:tc>
          <w:tcPr>
            <w:tcW w:type="dxa" w:w="2100"/>
            <w:shd w:fill="E2EFDA"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Requiere tiempo del equipo; curva de aprendizaje.</w:t>
            </w:r>
          </w:p>
        </w:tc>
      </w:tr>
    </w:tbl>
    <w:p>
      <w:pPr>
        <w:spacing w:after="80"/>
      </w:pPr>
      <w:r>
        <w:t xml:space="preserve"/>
      </w:r>
    </w:p>
    <w:p>
      <w:pPr>
        <w:pStyle w:val="Heading2"/>
        <w:spacing w:after="120" w:before="260"/>
      </w:pPr>
      <w:r>
        <w:rPr>
          <w:b/>
          <w:bCs/>
          <w:color w:val="2E5496"/>
          <w:sz w:val="26"/>
          <w:szCs w:val="26"/>
        </w:rPr>
        <w:t xml:space="preserve">Criterios de evaluación</w:t>
      </w:r>
    </w:p>
    <w:tbl>
      <w:tblPr>
        <w:tblW w:type="dxa" w:w="9360"/>
        <w:tblBorders>
          <w:top w:val="single" w:color="44546A" w:sz="2"/>
          <w:left w:val="single" w:color="44546A" w:sz="2"/>
          <w:bottom w:val="single" w:color="44546A" w:sz="2"/>
          <w:right w:val="single" w:color="44546A" w:sz="2"/>
          <w:insideH w:val="single" w:color="auto" w:sz="4"/>
          <w:insideV w:val="single" w:color="auto" w:sz="4"/>
        </w:tblBorders>
      </w:tblPr>
      <w:tblGrid>
        <w:gridCol w:w="9360"/>
      </w:tblGrid>
      <w:tr>
        <w:tc>
          <w:tcPr>
            <w:tcW w:type="dxa" w:w="9360"/>
            <w:shd w:fill="F2F2F2" w:val="clear"/>
            <w:tcMar>
              <w:top w:type="dxa" w:w="70"/>
              <w:left w:type="dxa" w:w="140"/>
              <w:bottom w:type="dxa" w:w="70"/>
              <w:right w:type="dxa" w:w="140"/>
            </w:tcMar>
          </w:tcPr>
          <w:p>
            <w:pPr>
              <w:jc w:val="both"/>
            </w:pPr>
            <w:r>
              <w:rPr>
                <w:b/>
                <w:bCs/>
                <w:color w:val="2E5496"/>
                <w:sz w:val="19"/>
                <w:szCs w:val="19"/>
              </w:rPr>
              <w:t xml:space="preserve">Fundamento metodológico: </w:t>
            </w:r>
            <w:r>
              <w:rPr>
                <w:i/>
                <w:iCs/>
                <w:color w:val="444444"/>
                <w:sz w:val="19"/>
                <w:szCs w:val="19"/>
              </w:rPr>
              <w:t xml:space="preserve">La comparación se realiza mediante un modelo de puntuación ponderada (weighted scoring model), técnica de análisis multicriterio de decisiones. A cada criterio se le asigna un peso relativo según su importancia; cada alternativa se puntúa de 1 a 5 en cada criterio; el puntaje ponderado total determina la mejor opción.</w:t>
            </w:r>
          </w:p>
        </w:tc>
      </w:tr>
    </w:tbl>
    <w:p>
      <w:pPr>
        <w:spacing w:after="80"/>
      </w:pPr>
      <w:r>
        <w:t xml:space="preserve"/>
      </w:r>
    </w:p>
    <w:p>
      <w:pPr>
        <w:spacing w:after="120" w:line="276"/>
        <w:jc w:val="both"/>
      </w:pPr>
      <w:r>
        <w:rPr>
          <w:color w:val="222222"/>
          <w:sz w:val="22"/>
          <w:szCs w:val="22"/>
        </w:rPr>
        <w:t xml:space="preserve">Se definieron seis criterios de evaluación con sus respectivos pesos:</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800"/>
        <w:gridCol w:w="1200"/>
        <w:gridCol w:w="5360"/>
      </w:tblGrid>
      <w:tr>
        <w:trPr>
          <w:tblHeader/>
        </w:trPr>
        <w:tc>
          <w:tcPr>
            <w:tcW w:type="dxa" w:w="28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Criterio</w:t>
            </w:r>
          </w:p>
        </w:tc>
        <w:tc>
          <w:tcPr>
            <w:tcW w:type="dxa" w:w="12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Peso</w:t>
            </w:r>
          </w:p>
        </w:tc>
        <w:tc>
          <w:tcPr>
            <w:tcW w:type="dxa" w:w="53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Justificación del peso</w:t>
            </w:r>
          </w:p>
        </w:tc>
      </w:tr>
      <w:tr>
        <w:tc>
          <w:tcPr>
            <w:tcW w:type="dxa" w:w="28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Ajuste a la necesidad</w:t>
            </w:r>
          </w:p>
        </w:tc>
        <w:tc>
          <w:tcPr>
            <w:tcW w:type="dxa" w:w="1200"/>
            <w:shd w:fill="FFFFFF" w:val="clear"/>
            <w:tcMar>
              <w:top w:type="dxa" w:w="60"/>
              <w:left w:type="dxa" w:w="100"/>
              <w:bottom w:type="dxa" w:w="60"/>
              <w:right w:type="dxa" w:w="100"/>
            </w:tcMar>
            <w:vAlign w:val="center"/>
          </w:tcPr>
          <w:p>
            <w:pPr>
              <w:spacing w:after="40" w:before="40"/>
              <w:jc w:val="center"/>
            </w:pPr>
            <w:r>
              <w:rPr>
                <w:b/>
                <w:bCs/>
                <w:color w:val="222222"/>
                <w:sz w:val="20"/>
                <w:szCs w:val="20"/>
              </w:rPr>
              <w:t xml:space="preserve">25%</w:t>
            </w:r>
          </w:p>
        </w:tc>
        <w:tc>
          <w:tcPr>
            <w:tcW w:type="dxa" w:w="5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Qué tanto la solución cubre los 3 flujos (captación, instalación, gestión) y la integración con MikroTik.</w:t>
            </w:r>
          </w:p>
        </w:tc>
      </w:tr>
      <w:tr>
        <w:tc>
          <w:tcPr>
            <w:tcW w:type="dxa" w:w="28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Costo total (inversión + operación)</w:t>
            </w:r>
          </w:p>
        </w:tc>
        <w:tc>
          <w:tcPr>
            <w:tcW w:type="dxa" w:w="1200"/>
            <w:shd w:fill="FFFFFF" w:val="clear"/>
            <w:tcMar>
              <w:top w:type="dxa" w:w="60"/>
              <w:left w:type="dxa" w:w="100"/>
              <w:bottom w:type="dxa" w:w="60"/>
              <w:right w:type="dxa" w:w="100"/>
            </w:tcMar>
            <w:vAlign w:val="center"/>
          </w:tcPr>
          <w:p>
            <w:pPr>
              <w:spacing w:after="40" w:before="40"/>
              <w:jc w:val="center"/>
            </w:pPr>
            <w:r>
              <w:rPr>
                <w:b/>
                <w:bCs/>
                <w:color w:val="222222"/>
                <w:sz w:val="20"/>
                <w:szCs w:val="20"/>
              </w:rPr>
              <w:t xml:space="preserve">20%</w:t>
            </w:r>
          </w:p>
        </w:tc>
        <w:tc>
          <w:tcPr>
            <w:tcW w:type="dxa" w:w="5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Impacto económico sobre una MYPE con recursos limitados.</w:t>
            </w:r>
          </w:p>
        </w:tc>
      </w:tr>
      <w:tr>
        <w:tc>
          <w:tcPr>
            <w:tcW w:type="dxa" w:w="28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Personalización</w:t>
            </w:r>
          </w:p>
        </w:tc>
        <w:tc>
          <w:tcPr>
            <w:tcW w:type="dxa" w:w="1200"/>
            <w:shd w:fill="FFFFFF" w:val="clear"/>
            <w:tcMar>
              <w:top w:type="dxa" w:w="60"/>
              <w:left w:type="dxa" w:w="100"/>
              <w:bottom w:type="dxa" w:w="60"/>
              <w:right w:type="dxa" w:w="100"/>
            </w:tcMar>
            <w:vAlign w:val="center"/>
          </w:tcPr>
          <w:p>
            <w:pPr>
              <w:spacing w:after="40" w:before="40"/>
              <w:jc w:val="center"/>
            </w:pPr>
            <w:r>
              <w:rPr>
                <w:b/>
                <w:bCs/>
                <w:color w:val="222222"/>
                <w:sz w:val="20"/>
                <w:szCs w:val="20"/>
              </w:rPr>
              <w:t xml:space="preserve">20%</w:t>
            </w:r>
          </w:p>
        </w:tc>
        <w:tc>
          <w:tcPr>
            <w:tcW w:type="dxa" w:w="5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Capacidad de adaptarse a la operación específica de WISP (apps de campo, cobertura).</w:t>
            </w:r>
          </w:p>
        </w:tc>
      </w:tr>
      <w:tr>
        <w:tc>
          <w:tcPr>
            <w:tcW w:type="dxa" w:w="28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Tiempo de implementación</w:t>
            </w:r>
          </w:p>
        </w:tc>
        <w:tc>
          <w:tcPr>
            <w:tcW w:type="dxa" w:w="1200"/>
            <w:shd w:fill="FFFFFF" w:val="clear"/>
            <w:tcMar>
              <w:top w:type="dxa" w:w="60"/>
              <w:left w:type="dxa" w:w="100"/>
              <w:bottom w:type="dxa" w:w="60"/>
              <w:right w:type="dxa" w:w="100"/>
            </w:tcMar>
            <w:vAlign w:val="center"/>
          </w:tcPr>
          <w:p>
            <w:pPr>
              <w:spacing w:after="40" w:before="40"/>
              <w:jc w:val="center"/>
            </w:pPr>
            <w:r>
              <w:rPr>
                <w:b/>
                <w:bCs/>
                <w:color w:val="222222"/>
                <w:sz w:val="20"/>
                <w:szCs w:val="20"/>
              </w:rPr>
              <w:t xml:space="preserve">15%</w:t>
            </w:r>
          </w:p>
        </w:tc>
        <w:tc>
          <w:tcPr>
            <w:tcW w:type="dxa" w:w="5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Rapidez en poner la solución en producción.</w:t>
            </w:r>
          </w:p>
        </w:tc>
      </w:tr>
      <w:tr>
        <w:tc>
          <w:tcPr>
            <w:tcW w:type="dxa" w:w="28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Escalabilidad</w:t>
            </w:r>
          </w:p>
        </w:tc>
        <w:tc>
          <w:tcPr>
            <w:tcW w:type="dxa" w:w="1200"/>
            <w:shd w:fill="FFFFFF" w:val="clear"/>
            <w:tcMar>
              <w:top w:type="dxa" w:w="60"/>
              <w:left w:type="dxa" w:w="100"/>
              <w:bottom w:type="dxa" w:w="60"/>
              <w:right w:type="dxa" w:w="100"/>
            </w:tcMar>
            <w:vAlign w:val="center"/>
          </w:tcPr>
          <w:p>
            <w:pPr>
              <w:spacing w:after="40" w:before="40"/>
              <w:jc w:val="center"/>
            </w:pPr>
            <w:r>
              <w:rPr>
                <w:b/>
                <w:bCs/>
                <w:color w:val="222222"/>
                <w:sz w:val="20"/>
                <w:szCs w:val="20"/>
              </w:rPr>
              <w:t xml:space="preserve">12%</w:t>
            </w:r>
          </w:p>
        </w:tc>
        <w:tc>
          <w:tcPr>
            <w:tcW w:type="dxa" w:w="5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Capacidad de crecer con nuevas zonas y clientes.</w:t>
            </w:r>
          </w:p>
        </w:tc>
      </w:tr>
      <w:tr>
        <w:tc>
          <w:tcPr>
            <w:tcW w:type="dxa" w:w="28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Independencia del proveedor</w:t>
            </w:r>
          </w:p>
        </w:tc>
        <w:tc>
          <w:tcPr>
            <w:tcW w:type="dxa" w:w="1200"/>
            <w:shd w:fill="FFFFFF" w:val="clear"/>
            <w:tcMar>
              <w:top w:type="dxa" w:w="60"/>
              <w:left w:type="dxa" w:w="100"/>
              <w:bottom w:type="dxa" w:w="60"/>
              <w:right w:type="dxa" w:w="100"/>
            </w:tcMar>
            <w:vAlign w:val="center"/>
          </w:tcPr>
          <w:p>
            <w:pPr>
              <w:spacing w:after="40" w:before="40"/>
              <w:jc w:val="center"/>
            </w:pPr>
            <w:r>
              <w:rPr>
                <w:b/>
                <w:bCs/>
                <w:color w:val="222222"/>
                <w:sz w:val="20"/>
                <w:szCs w:val="20"/>
              </w:rPr>
              <w:t xml:space="preserve">8%</w:t>
            </w:r>
          </w:p>
        </w:tc>
        <w:tc>
          <w:tcPr>
            <w:tcW w:type="dxa" w:w="5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Menor dependencia externa para operar y mantener el sistema.</w:t>
            </w:r>
          </w:p>
        </w:tc>
      </w:tr>
    </w:tbl>
    <w:p>
      <w:pPr>
        <w:spacing w:after="80"/>
      </w:pPr>
      <w:r>
        <w:t xml:space="preserve"/>
      </w:r>
    </w:p>
    <w:p>
      <w:pPr>
        <w:pStyle w:val="Heading2"/>
        <w:spacing w:after="120" w:before="260"/>
      </w:pPr>
      <w:r>
        <w:rPr>
          <w:b/>
          <w:bCs/>
          <w:color w:val="2E5496"/>
          <w:sz w:val="26"/>
          <w:szCs w:val="26"/>
        </w:rPr>
        <w:t xml:space="preserve">Matriz comparativa (scoring ponderado)</w:t>
      </w:r>
    </w:p>
    <w:p>
      <w:pPr>
        <w:spacing w:after="120" w:line="276"/>
        <w:jc w:val="both"/>
      </w:pPr>
      <w:r>
        <w:rPr>
          <w:color w:val="222222"/>
          <w:sz w:val="22"/>
          <w:szCs w:val="22"/>
        </w:rPr>
        <w:t xml:space="preserve">Cada alternativa se puntuó de 1 (muy deficiente) a 5 (excelente) en cada criterio. La columna final muestra el puntaje ponderado total sobre un máximo de 5.00:</w:t>
      </w:r>
    </w:p>
    <w:tbl>
      <w:tblPr>
        <w:tblW w:type="dxa" w:w="8720"/>
        <w:tblBorders>
          <w:top w:val="single" w:color="44546A" w:sz="4"/>
          <w:left w:val="single" w:color="44546A" w:sz="4"/>
          <w:bottom w:val="single" w:color="44546A" w:sz="4"/>
          <w:right w:val="single" w:color="44546A" w:sz="4"/>
          <w:insideH w:val="single" w:color="BBBBBB" w:sz="2"/>
          <w:insideV w:val="single" w:color="BBBBBB" w:sz="2"/>
        </w:tblBorders>
      </w:tblPr>
      <w:tblGrid>
        <w:gridCol w:w="2160"/>
        <w:gridCol w:w="900"/>
        <w:gridCol w:w="900"/>
        <w:gridCol w:w="900"/>
        <w:gridCol w:w="900"/>
        <w:gridCol w:w="900"/>
        <w:gridCol w:w="900"/>
        <w:gridCol w:w="1160"/>
      </w:tblGrid>
      <w:tr>
        <w:trPr>
          <w:tblHeader/>
        </w:trPr>
        <w:tc>
          <w:tcPr>
            <w:tcW w:type="dxa" w:w="21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Alternativa</w:t>
            </w:r>
          </w:p>
        </w:tc>
        <w:tc>
          <w:tcPr>
            <w:tcW w:type="dxa" w:w="9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Ajuste
(25%)</w:t>
            </w:r>
          </w:p>
        </w:tc>
        <w:tc>
          <w:tcPr>
            <w:tcW w:type="dxa" w:w="9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Costo
(20%)</w:t>
            </w:r>
          </w:p>
        </w:tc>
        <w:tc>
          <w:tcPr>
            <w:tcW w:type="dxa" w:w="9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Person.
(20%)</w:t>
            </w:r>
          </w:p>
        </w:tc>
        <w:tc>
          <w:tcPr>
            <w:tcW w:type="dxa" w:w="9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Tiempo
(15%)</w:t>
            </w:r>
          </w:p>
        </w:tc>
        <w:tc>
          <w:tcPr>
            <w:tcW w:type="dxa" w:w="9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Escala
(12%)</w:t>
            </w:r>
          </w:p>
        </w:tc>
        <w:tc>
          <w:tcPr>
            <w:tcW w:type="dxa" w:w="9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Indep.
(8%)</w:t>
            </w:r>
          </w:p>
        </w:tc>
        <w:tc>
          <w:tcPr>
            <w:tcW w:type="dxa" w:w="11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TOTAL</w:t>
            </w:r>
          </w:p>
        </w:tc>
      </w:tr>
      <w:tr>
        <w:tc>
          <w:tcPr>
            <w:tcW w:type="dxa" w:w="216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A1. Statu quo</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1</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5</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1</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5</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1</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3</w:t>
            </w:r>
          </w:p>
        </w:tc>
        <w:tc>
          <w:tcPr>
            <w:tcW w:type="dxa" w:w="116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2.56</w:t>
            </w:r>
          </w:p>
        </w:tc>
      </w:tr>
      <w:tr>
        <w:tc>
          <w:tcPr>
            <w:tcW w:type="dxa" w:w="216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A2. Software comercial</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3</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3</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2</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5</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3</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2</w:t>
            </w:r>
          </w:p>
        </w:tc>
        <w:tc>
          <w:tcPr>
            <w:tcW w:type="dxa" w:w="116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3.02</w:t>
            </w:r>
          </w:p>
        </w:tc>
      </w:tr>
      <w:tr>
        <w:tc>
          <w:tcPr>
            <w:tcW w:type="dxa" w:w="216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A3. Desarrollo externo</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5</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2</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5</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2</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4</w:t>
            </w:r>
          </w:p>
        </w:tc>
        <w:tc>
          <w:tcPr>
            <w:tcW w:type="dxa" w:w="9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2</w:t>
            </w:r>
          </w:p>
        </w:tc>
        <w:tc>
          <w:tcPr>
            <w:tcW w:type="dxa" w:w="116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3.59</w:t>
            </w:r>
          </w:p>
        </w:tc>
      </w:tr>
      <w:tr>
        <w:tc>
          <w:tcPr>
            <w:tcW w:type="dxa" w:w="2160"/>
            <w:shd w:fill="E2EFDA" w:val="clear"/>
            <w:tcMar>
              <w:top w:type="dxa" w:w="60"/>
              <w:left w:type="dxa" w:w="100"/>
              <w:bottom w:type="dxa" w:w="60"/>
              <w:right w:type="dxa" w:w="100"/>
            </w:tcMar>
            <w:vAlign w:val="center"/>
          </w:tcPr>
          <w:p>
            <w:pPr>
              <w:spacing w:after="40" w:before="40"/>
              <w:jc w:val="left"/>
            </w:pPr>
            <w:r>
              <w:rPr>
                <w:b/>
                <w:bCs/>
                <w:color w:val="548235"/>
                <w:sz w:val="20"/>
                <w:szCs w:val="20"/>
              </w:rPr>
              <w:t xml:space="preserve">A4. Desarrollo propio ★</w:t>
            </w:r>
          </w:p>
        </w:tc>
        <w:tc>
          <w:tcPr>
            <w:tcW w:type="dxa" w:w="900"/>
            <w:shd w:fill="E2EFDA"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5</w:t>
            </w:r>
          </w:p>
        </w:tc>
        <w:tc>
          <w:tcPr>
            <w:tcW w:type="dxa" w:w="900"/>
            <w:shd w:fill="E2EFDA"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5</w:t>
            </w:r>
          </w:p>
        </w:tc>
        <w:tc>
          <w:tcPr>
            <w:tcW w:type="dxa" w:w="900"/>
            <w:shd w:fill="E2EFDA"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5</w:t>
            </w:r>
          </w:p>
        </w:tc>
        <w:tc>
          <w:tcPr>
            <w:tcW w:type="dxa" w:w="900"/>
            <w:shd w:fill="E2EFDA"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3</w:t>
            </w:r>
          </w:p>
        </w:tc>
        <w:tc>
          <w:tcPr>
            <w:tcW w:type="dxa" w:w="900"/>
            <w:shd w:fill="E2EFDA"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5</w:t>
            </w:r>
          </w:p>
        </w:tc>
        <w:tc>
          <w:tcPr>
            <w:tcW w:type="dxa" w:w="900"/>
            <w:shd w:fill="E2EFDA"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5</w:t>
            </w:r>
          </w:p>
        </w:tc>
        <w:tc>
          <w:tcPr>
            <w:tcW w:type="dxa" w:w="1160"/>
            <w:shd w:fill="C6E0B4" w:val="clear"/>
            <w:tcMar>
              <w:top w:type="dxa" w:w="60"/>
              <w:left w:type="dxa" w:w="100"/>
              <w:bottom w:type="dxa" w:w="60"/>
              <w:right w:type="dxa" w:w="100"/>
            </w:tcMar>
            <w:vAlign w:val="center"/>
          </w:tcPr>
          <w:p>
            <w:pPr>
              <w:spacing w:after="40" w:before="40"/>
              <w:jc w:val="center"/>
            </w:pPr>
            <w:r>
              <w:rPr>
                <w:b/>
                <w:bCs/>
                <w:color w:val="548235"/>
                <w:sz w:val="20"/>
                <w:szCs w:val="20"/>
              </w:rPr>
              <w:t xml:space="preserve">4.70</w:t>
            </w:r>
          </w:p>
        </w:tc>
      </w:tr>
    </w:tbl>
    <w:p>
      <w:pPr>
        <w:spacing w:after="80"/>
      </w:pPr>
      <w:r>
        <w:t xml:space="preserve"/>
      </w:r>
    </w:p>
    <w:tbl>
      <w:tblPr>
        <w:tblW w:type="dxa" w:w="9360"/>
        <w:tblBorders>
          <w:top w:val="single" w:color="548235" w:sz="2"/>
          <w:left w:val="single" w:color="548235" w:sz="24"/>
          <w:bottom w:val="single" w:color="548235" w:sz="2"/>
          <w:right w:val="single" w:color="548235" w:sz="2"/>
          <w:insideH w:val="single" w:color="auto" w:sz="4"/>
          <w:insideV w:val="single" w:color="auto" w:sz="4"/>
        </w:tblBorders>
      </w:tblPr>
      <w:tblGrid>
        <w:gridCol w:w="9360"/>
      </w:tblGrid>
      <w:tr>
        <w:tc>
          <w:tcPr>
            <w:tcW w:type="dxa" w:w="9360"/>
            <w:shd w:fill="E2EFDA" w:val="clear"/>
            <w:tcMar>
              <w:top w:type="dxa" w:w="100"/>
              <w:left w:type="dxa" w:w="160"/>
              <w:bottom w:type="dxa" w:w="100"/>
              <w:right w:type="dxa" w:w="160"/>
            </w:tcMar>
          </w:tcPr>
          <w:p>
            <w:pPr>
              <w:spacing w:after="60"/>
            </w:pPr>
            <w:r>
              <w:rPr>
                <w:b/>
                <w:bCs/>
                <w:color w:val="548235"/>
                <w:sz w:val="22"/>
                <w:szCs w:val="22"/>
              </w:rPr>
              <w:t xml:space="preserve">Alternativa seleccionada: A4 — Desarrollo propio</w:t>
            </w:r>
          </w:p>
          <w:p>
            <w:pPr>
              <w:jc w:val="both"/>
            </w:pPr>
            <w:r>
              <w:rPr>
                <w:color w:val="333333"/>
                <w:sz w:val="21"/>
                <w:szCs w:val="21"/>
              </w:rPr>
              <w:t xml:space="preserve">Con un puntaje ponderado de 4.70/5.00, la alternativa de desarrollo propio es la de mayor valor. Supera a las demás por su ajuste total a la necesidad, su personalización completa (apps de campo e integración con MikroTik a medida), su nulo costo de desarrollo para WISP y su alta escalabilidad e independencia. Su única desventaja —el tiempo del equipo— es asumible en el marco del proyecto de fin de carrera.</w:t>
            </w:r>
          </w:p>
        </w:tc>
      </w:tr>
    </w:tbl>
    <w:p>
      <w:pPr>
        <w:spacing w:after="80"/>
      </w:pPr>
      <w:r>
        <w:t xml:space="preserve"/>
      </w:r>
    </w:p>
    <w:p>
      <w:pPr>
        <w:pStyle w:val="Heading1"/>
        <w:spacing w:after="160" w:before="320"/>
      </w:pPr>
      <w:r>
        <w:rPr>
          <w:b/>
          <w:bCs/>
          <w:color w:val="1F3864"/>
          <w:sz w:val="32"/>
          <w:szCs w:val="32"/>
        </w:rPr>
        <w:t xml:space="preserve">2.3 Evaluación de Beneficios</w:t>
      </w:r>
    </w:p>
    <w:p>
      <w:pPr>
        <w:spacing w:after="120" w:line="276"/>
        <w:jc w:val="both"/>
      </w:pPr>
      <w:r>
        <w:rPr>
          <w:color w:val="222222"/>
          <w:sz w:val="22"/>
          <w:szCs w:val="22"/>
        </w:rPr>
        <w:t xml:space="preserve">Los beneficios del proyecto se clasifican en cuantificables (traducibles a un valor monetario) y cualitativos (de valor estratégico no monetario directo). Las estimaciones son conservadoras y se basan en los datos operativos de WISP.</w:t>
      </w:r>
    </w:p>
    <w:p>
      <w:pPr>
        <w:pStyle w:val="Heading2"/>
        <w:spacing w:after="120" w:before="260"/>
      </w:pPr>
      <w:r>
        <w:rPr>
          <w:b/>
          <w:bCs/>
          <w:color w:val="2E5496"/>
          <w:sz w:val="26"/>
          <w:szCs w:val="26"/>
        </w:rPr>
        <w:t xml:space="preserve">Beneficios cuantificables (anuales)</w:t>
      </w:r>
    </w:p>
    <w:p>
      <w:pPr>
        <w:spacing w:after="120" w:line="276"/>
        <w:jc w:val="both"/>
      </w:pPr>
      <w:r>
        <w:rPr>
          <w:color w:val="222222"/>
          <w:sz w:val="22"/>
          <w:szCs w:val="22"/>
        </w:rPr>
        <w:t xml:space="preserve">Sobre una base estimada de ≈455 clientes activos y un ticket promedio de S/ 55 mensuales (ingreso anual aproximado de S/ 300 300), se estiman los siguientes beneficios económicos anuales:</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3400"/>
        <w:gridCol w:w="4160"/>
        <w:gridCol w:w="1800"/>
      </w:tblGrid>
      <w:tr>
        <w:trPr>
          <w:tblHeader/>
        </w:trPr>
        <w:tc>
          <w:tcPr>
            <w:tcW w:type="dxa" w:w="34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Beneficio cuantificable</w:t>
            </w:r>
          </w:p>
        </w:tc>
        <w:tc>
          <w:tcPr>
            <w:tcW w:type="dxa" w:w="41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Cálculo / supuesto</w:t>
            </w:r>
          </w:p>
        </w:tc>
        <w:tc>
          <w:tcPr>
            <w:tcW w:type="dxa" w:w="18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Valor anual (S/)</w:t>
            </w:r>
          </w:p>
        </w:tc>
      </w:tr>
      <w:tr>
        <w:tc>
          <w:tcPr>
            <w:tcW w:type="dxa" w:w="3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Ahorro de tiempo administrativo</w:t>
            </w:r>
          </w:p>
        </w:tc>
        <w:tc>
          <w:tcPr>
            <w:tcW w:type="dxa" w:w="4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2.5 h/día liberadas × 26 días × S/ 10/h × 12 meses.</w:t>
            </w:r>
          </w:p>
        </w:tc>
        <w:tc>
          <w:tcPr>
            <w:tcW w:type="dxa" w:w="1800"/>
            <w:shd w:fill="FFFFFF" w:val="clear"/>
            <w:tcMar>
              <w:top w:type="dxa" w:w="60"/>
              <w:left w:type="dxa" w:w="100"/>
              <w:bottom w:type="dxa" w:w="60"/>
              <w:right w:type="dxa" w:w="100"/>
            </w:tcMar>
            <w:vAlign w:val="center"/>
          </w:tcPr>
          <w:p>
            <w:pPr>
              <w:spacing w:after="40" w:before="40"/>
              <w:jc w:val="right"/>
            </w:pPr>
            <w:r>
              <w:rPr>
                <w:b w:val="false"/>
                <w:bCs w:val="false"/>
                <w:color w:val="222222"/>
                <w:sz w:val="20"/>
                <w:szCs w:val="20"/>
              </w:rPr>
              <w:t xml:space="preserve">7 800</w:t>
            </w:r>
          </w:p>
        </w:tc>
      </w:tr>
      <w:tr>
        <w:tc>
          <w:tcPr>
            <w:tcW w:type="dxa" w:w="3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Recuperación por menor morosidad</w:t>
            </w:r>
          </w:p>
        </w:tc>
        <w:tc>
          <w:tcPr>
            <w:tcW w:type="dxa" w:w="4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2% del ingreso anual recuperado por cortes/reactivaciones oportunos y automatizados.</w:t>
            </w:r>
          </w:p>
        </w:tc>
        <w:tc>
          <w:tcPr>
            <w:tcW w:type="dxa" w:w="1800"/>
            <w:shd w:fill="FFFFFF" w:val="clear"/>
            <w:tcMar>
              <w:top w:type="dxa" w:w="60"/>
              <w:left w:type="dxa" w:w="100"/>
              <w:bottom w:type="dxa" w:w="60"/>
              <w:right w:type="dxa" w:w="100"/>
            </w:tcMar>
            <w:vAlign w:val="center"/>
          </w:tcPr>
          <w:p>
            <w:pPr>
              <w:spacing w:after="40" w:before="40"/>
              <w:jc w:val="right"/>
            </w:pPr>
            <w:r>
              <w:rPr>
                <w:b w:val="false"/>
                <w:bCs w:val="false"/>
                <w:color w:val="222222"/>
                <w:sz w:val="20"/>
                <w:szCs w:val="20"/>
              </w:rPr>
              <w:t xml:space="preserve">6 006</w:t>
            </w:r>
          </w:p>
        </w:tc>
      </w:tr>
      <w:tr>
        <w:tc>
          <w:tcPr>
            <w:tcW w:type="dxa" w:w="3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Ingreso por clientes extra captados</w:t>
            </w:r>
          </w:p>
        </w:tc>
        <w:tc>
          <w:tcPr>
            <w:tcW w:type="dxa" w:w="4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3 clientes nuevos extra/mes por mejor captación × S/ 55 × ~6 meses activos promedio.</w:t>
            </w:r>
          </w:p>
        </w:tc>
        <w:tc>
          <w:tcPr>
            <w:tcW w:type="dxa" w:w="1800"/>
            <w:shd w:fill="FFFFFF" w:val="clear"/>
            <w:tcMar>
              <w:top w:type="dxa" w:w="60"/>
              <w:left w:type="dxa" w:w="100"/>
              <w:bottom w:type="dxa" w:w="60"/>
              <w:right w:type="dxa" w:w="100"/>
            </w:tcMar>
            <w:vAlign w:val="center"/>
          </w:tcPr>
          <w:p>
            <w:pPr>
              <w:spacing w:after="40" w:before="40"/>
              <w:jc w:val="right"/>
            </w:pPr>
            <w:r>
              <w:rPr>
                <w:b w:val="false"/>
                <w:bCs w:val="false"/>
                <w:color w:val="222222"/>
                <w:sz w:val="20"/>
                <w:szCs w:val="20"/>
              </w:rPr>
              <w:t xml:space="preserve">11 880</w:t>
            </w:r>
          </w:p>
        </w:tc>
      </w:tr>
      <w:tr>
        <w:tc>
          <w:tcPr>
            <w:tcW w:type="dxa" w:w="34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Reducción de errores y pérdida de prospectos</w:t>
            </w:r>
          </w:p>
        </w:tc>
        <w:tc>
          <w:tcPr>
            <w:tcW w:type="dxa" w:w="41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Menor pérdida de datos de campo, papel y retrabajo de coordinación.</w:t>
            </w:r>
          </w:p>
        </w:tc>
        <w:tc>
          <w:tcPr>
            <w:tcW w:type="dxa" w:w="1800"/>
            <w:shd w:fill="FFFFFF" w:val="clear"/>
            <w:tcMar>
              <w:top w:type="dxa" w:w="60"/>
              <w:left w:type="dxa" w:w="100"/>
              <w:bottom w:type="dxa" w:w="60"/>
              <w:right w:type="dxa" w:w="100"/>
            </w:tcMar>
            <w:vAlign w:val="center"/>
          </w:tcPr>
          <w:p>
            <w:pPr>
              <w:spacing w:after="40" w:before="40"/>
              <w:jc w:val="right"/>
            </w:pPr>
            <w:r>
              <w:rPr>
                <w:b w:val="false"/>
                <w:bCs w:val="false"/>
                <w:color w:val="222222"/>
                <w:sz w:val="20"/>
                <w:szCs w:val="20"/>
              </w:rPr>
              <w:t xml:space="preserve">1 800</w:t>
            </w:r>
          </w:p>
        </w:tc>
      </w:tr>
      <w:tr>
        <w:tc>
          <w:tcPr>
            <w:tcW w:type="dxa" w:w="3400"/>
            <w:shd w:fill="2E5496" w:val="clear"/>
            <w:tcMar>
              <w:top w:type="dxa" w:w="60"/>
              <w:left w:type="dxa" w:w="100"/>
              <w:bottom w:type="dxa" w:w="60"/>
              <w:right w:type="dxa" w:w="100"/>
            </w:tcMar>
            <w:vAlign w:val="center"/>
          </w:tcPr>
          <w:p>
            <w:pPr>
              <w:spacing w:after="40" w:before="40"/>
              <w:jc w:val="left"/>
            </w:pPr>
            <w:r>
              <w:rPr>
                <w:b/>
                <w:bCs/>
                <w:color w:val="FFFFFF"/>
                <w:sz w:val="20"/>
                <w:szCs w:val="20"/>
              </w:rPr>
              <w:t xml:space="preserve">BENEFICIO BRUTO ANUAL</w:t>
            </w:r>
          </w:p>
        </w:tc>
        <w:tc>
          <w:tcPr>
            <w:tcW w:type="dxa" w:w="4160"/>
            <w:shd w:fill="2E5496" w:val="clear"/>
            <w:tcMar>
              <w:top w:type="dxa" w:w="60"/>
              <w:left w:type="dxa" w:w="100"/>
              <w:bottom w:type="dxa" w:w="60"/>
              <w:right w:type="dxa" w:w="100"/>
            </w:tcMar>
            <w:vAlign w:val="center"/>
          </w:tcPr>
          <w:p>
            <w:pPr>
              <w:spacing w:after="40" w:before="40"/>
              <w:jc w:val="left"/>
            </w:pPr>
            <w:r>
              <w:rPr>
                <w:b/>
                <w:bCs/>
                <w:color w:val="FFFFFF"/>
                <w:sz w:val="20"/>
                <w:szCs w:val="20"/>
              </w:rPr>
              <w:t xml:space="preserve">Suma de beneficios cuantificables</w:t>
            </w:r>
          </w:p>
        </w:tc>
        <w:tc>
          <w:tcPr>
            <w:tcW w:type="dxa" w:w="1800"/>
            <w:shd w:fill="2E5496" w:val="clear"/>
            <w:tcMar>
              <w:top w:type="dxa" w:w="60"/>
              <w:left w:type="dxa" w:w="100"/>
              <w:bottom w:type="dxa" w:w="60"/>
              <w:right w:type="dxa" w:w="100"/>
            </w:tcMar>
            <w:vAlign w:val="center"/>
          </w:tcPr>
          <w:p>
            <w:pPr>
              <w:spacing w:after="40" w:before="40"/>
              <w:jc w:val="right"/>
            </w:pPr>
            <w:r>
              <w:rPr>
                <w:b/>
                <w:bCs/>
                <w:color w:val="FFFFFF"/>
                <w:sz w:val="20"/>
                <w:szCs w:val="20"/>
              </w:rPr>
              <w:t xml:space="preserve">27 486</w:t>
            </w:r>
          </w:p>
        </w:tc>
      </w:tr>
    </w:tbl>
    <w:p>
      <w:pPr>
        <w:spacing w:after="80"/>
      </w:pPr>
      <w:r>
        <w:t xml:space="preserve"/>
      </w:r>
    </w:p>
    <w:p>
      <w:pPr>
        <w:pStyle w:val="Heading2"/>
        <w:spacing w:after="120" w:before="260"/>
      </w:pPr>
      <w:r>
        <w:rPr>
          <w:b/>
          <w:bCs/>
          <w:color w:val="2E5496"/>
          <w:sz w:val="26"/>
          <w:szCs w:val="26"/>
        </w:rPr>
        <w:t xml:space="preserve">Beneficios cualitativos</w:t>
      </w:r>
    </w:p>
    <w:p>
      <w:pPr>
        <w:pStyle w:val="ListParagraph"/>
        <w:numPr>
          <w:ilvl w:val="0"/>
          <w:numId w:val="2"/>
        </w:numPr>
        <w:spacing w:after="60" w:line="264"/>
      </w:pPr>
      <w:r>
        <w:rPr>
          <w:b/>
          <w:bCs/>
          <w:sz w:val="22"/>
          <w:szCs w:val="22"/>
        </w:rPr>
        <w:t xml:space="preserve">Trazabilidad total: </w:t>
      </w:r>
      <w:r>
        <w:rPr>
          <w:sz w:val="22"/>
          <w:szCs w:val="22"/>
        </w:rPr>
        <w:t xml:space="preserve">historial completo por cliente (instalación, caja NAP, borne, equipos), valioso para soporte y mantenimiento.</w:t>
      </w:r>
    </w:p>
    <w:p>
      <w:pPr>
        <w:pStyle w:val="ListParagraph"/>
        <w:numPr>
          <w:ilvl w:val="0"/>
          <w:numId w:val="2"/>
        </w:numPr>
        <w:spacing w:after="60" w:line="264"/>
      </w:pPr>
      <w:r>
        <w:rPr>
          <w:b/>
          <w:bCs/>
          <w:sz w:val="22"/>
          <w:szCs w:val="22"/>
        </w:rPr>
        <w:t xml:space="preserve">Reducción del riesgo operativo: </w:t>
      </w:r>
      <w:r>
        <w:rPr>
          <w:sz w:val="22"/>
          <w:szCs w:val="22"/>
        </w:rPr>
        <w:t xml:space="preserve">la operación deja de depender de una sola persona y de WhatsApp.</w:t>
      </w:r>
    </w:p>
    <w:p>
      <w:pPr>
        <w:pStyle w:val="ListParagraph"/>
        <w:numPr>
          <w:ilvl w:val="0"/>
          <w:numId w:val="2"/>
        </w:numPr>
        <w:spacing w:after="60" w:line="264"/>
      </w:pPr>
      <w:r>
        <w:rPr>
          <w:b/>
          <w:bCs/>
          <w:sz w:val="22"/>
          <w:szCs w:val="22"/>
        </w:rPr>
        <w:t xml:space="preserve">Escalabilidad: </w:t>
      </w:r>
      <w:r>
        <w:rPr>
          <w:sz w:val="22"/>
          <w:szCs w:val="22"/>
        </w:rPr>
        <w:t xml:space="preserve">capacidad de crecer a nuevos distritos sin aumentar proporcionalmente la carga administrativa.</w:t>
      </w:r>
    </w:p>
    <w:p>
      <w:pPr>
        <w:pStyle w:val="ListParagraph"/>
        <w:numPr>
          <w:ilvl w:val="0"/>
          <w:numId w:val="2"/>
        </w:numPr>
        <w:spacing w:after="60" w:line="264"/>
      </w:pPr>
      <w:r>
        <w:rPr>
          <w:b/>
          <w:bCs/>
          <w:sz w:val="22"/>
          <w:szCs w:val="22"/>
        </w:rPr>
        <w:t xml:space="preserve">Imagen y profesionalización: </w:t>
      </w:r>
      <w:r>
        <w:rPr>
          <w:sz w:val="22"/>
          <w:szCs w:val="22"/>
        </w:rPr>
        <w:t xml:space="preserve">una operación digitalizada mejora la percepción de la empresa frente a clientes y competidores.</w:t>
      </w:r>
    </w:p>
    <w:p>
      <w:pPr>
        <w:pStyle w:val="ListParagraph"/>
        <w:numPr>
          <w:ilvl w:val="0"/>
          <w:numId w:val="2"/>
        </w:numPr>
        <w:spacing w:after="60" w:line="264"/>
      </w:pPr>
      <w:r>
        <w:rPr>
          <w:b/>
          <w:bCs/>
          <w:sz w:val="22"/>
          <w:szCs w:val="22"/>
        </w:rPr>
        <w:t xml:space="preserve">Información para decisiones: </w:t>
      </w:r>
      <w:r>
        <w:rPr>
          <w:sz w:val="22"/>
          <w:szCs w:val="22"/>
        </w:rPr>
        <w:t xml:space="preserve">datos centralizados que permiten analizar zonas, morosidad y crecimiento.</w:t>
      </w:r>
    </w:p>
    <w:p>
      <w:pPr>
        <w:spacing w:after="80"/>
      </w:pPr>
      <w:r>
        <w:t xml:space="preserve"/>
      </w:r>
    </w:p>
    <w:p>
      <w:pPr>
        <w:pStyle w:val="Heading2"/>
        <w:spacing w:after="120" w:before="260"/>
      </w:pPr>
      <w:r>
        <w:rPr>
          <w:b/>
          <w:bCs/>
          <w:color w:val="2E5496"/>
          <w:sz w:val="26"/>
          <w:szCs w:val="26"/>
        </w:rPr>
        <w:t xml:space="preserve">Indicadores de valor</w:t>
      </w:r>
    </w:p>
    <w:p>
      <w:pPr>
        <w:spacing w:after="120" w:line="276"/>
        <w:jc w:val="both"/>
      </w:pPr>
      <w:r>
        <w:rPr>
          <w:color w:val="222222"/>
          <w:sz w:val="22"/>
          <w:szCs w:val="22"/>
        </w:rPr>
        <w:t xml:space="preserve">Los principales indicadores de valor (KPI) que evidenciarán el beneficio del proyecto tras su implementación son:</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3600"/>
        <w:gridCol w:w="2880"/>
        <w:gridCol w:w="2880"/>
      </w:tblGrid>
      <w:tr>
        <w:trPr>
          <w:tblHeader/>
        </w:trPr>
        <w:tc>
          <w:tcPr>
            <w:tcW w:type="dxa" w:w="36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Indicador de valor (KPI)</w:t>
            </w:r>
          </w:p>
        </w:tc>
        <w:tc>
          <w:tcPr>
            <w:tcW w:type="dxa" w:w="288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Situación actual</w:t>
            </w:r>
          </w:p>
        </w:tc>
        <w:tc>
          <w:tcPr>
            <w:tcW w:type="dxa" w:w="288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Meta con el sistema</w:t>
            </w:r>
          </w:p>
        </w:tc>
      </w:tr>
      <w:tr>
        <w:tc>
          <w:tcPr>
            <w:tcW w:type="dxa" w:w="36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Tiempo de gestión administrativa diaria</w:t>
            </w:r>
          </w:p>
        </w:tc>
        <w:tc>
          <w:tcPr>
            <w:tcW w:type="dxa" w:w="288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~4–5 h/día</w:t>
            </w:r>
          </w:p>
        </w:tc>
        <w:tc>
          <w:tcPr>
            <w:tcW w:type="dxa" w:w="2880"/>
            <w:shd w:fill="FFFFFF" w:val="clear"/>
            <w:tcMar>
              <w:top w:type="dxa" w:w="60"/>
              <w:left w:type="dxa" w:w="100"/>
              <w:bottom w:type="dxa" w:w="60"/>
              <w:right w:type="dxa" w:w="100"/>
            </w:tcMar>
            <w:vAlign w:val="center"/>
          </w:tcPr>
          <w:p>
            <w:pPr>
              <w:spacing w:after="40" w:before="40"/>
              <w:jc w:val="left"/>
            </w:pPr>
            <w:r>
              <w:rPr>
                <w:b/>
                <w:bCs/>
                <w:color w:val="548235"/>
                <w:sz w:val="20"/>
                <w:szCs w:val="20"/>
              </w:rPr>
              <w:t xml:space="preserve">≤ 2 h/día</w:t>
            </w:r>
          </w:p>
        </w:tc>
      </w:tr>
      <w:tr>
        <w:tc>
          <w:tcPr>
            <w:tcW w:type="dxa" w:w="36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Tiempo de activación de un cliente nuevo</w:t>
            </w:r>
          </w:p>
        </w:tc>
        <w:tc>
          <w:tcPr>
            <w:tcW w:type="dxa" w:w="288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Variable (días)</w:t>
            </w:r>
          </w:p>
        </w:tc>
        <w:tc>
          <w:tcPr>
            <w:tcW w:type="dxa" w:w="2880"/>
            <w:shd w:fill="FFFFFF" w:val="clear"/>
            <w:tcMar>
              <w:top w:type="dxa" w:w="60"/>
              <w:left w:type="dxa" w:w="100"/>
              <w:bottom w:type="dxa" w:w="60"/>
              <w:right w:type="dxa" w:w="100"/>
            </w:tcMar>
            <w:vAlign w:val="center"/>
          </w:tcPr>
          <w:p>
            <w:pPr>
              <w:spacing w:after="40" w:before="40"/>
              <w:jc w:val="left"/>
            </w:pPr>
            <w:r>
              <w:rPr>
                <w:b/>
                <w:bCs/>
                <w:color w:val="548235"/>
                <w:sz w:val="20"/>
                <w:szCs w:val="20"/>
              </w:rPr>
              <w:t xml:space="preserve">&lt; 24 h desde validación</w:t>
            </w:r>
          </w:p>
        </w:tc>
      </w:tr>
      <w:tr>
        <w:tc>
          <w:tcPr>
            <w:tcW w:type="dxa" w:w="36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Trazabilidad de instalaciones</w:t>
            </w:r>
          </w:p>
        </w:tc>
        <w:tc>
          <w:tcPr>
            <w:tcW w:type="dxa" w:w="288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0% (WhatsApp)</w:t>
            </w:r>
          </w:p>
        </w:tc>
        <w:tc>
          <w:tcPr>
            <w:tcW w:type="dxa" w:w="2880"/>
            <w:shd w:fill="FFFFFF" w:val="clear"/>
            <w:tcMar>
              <w:top w:type="dxa" w:w="60"/>
              <w:left w:type="dxa" w:w="100"/>
              <w:bottom w:type="dxa" w:w="60"/>
              <w:right w:type="dxa" w:w="100"/>
            </w:tcMar>
            <w:vAlign w:val="center"/>
          </w:tcPr>
          <w:p>
            <w:pPr>
              <w:spacing w:after="40" w:before="40"/>
              <w:jc w:val="left"/>
            </w:pPr>
            <w:r>
              <w:rPr>
                <w:b/>
                <w:bCs/>
                <w:color w:val="548235"/>
                <w:sz w:val="20"/>
                <w:szCs w:val="20"/>
              </w:rPr>
              <w:t xml:space="preserve">100% en el sistema</w:t>
            </w:r>
          </w:p>
        </w:tc>
      </w:tr>
      <w:tr>
        <w:tc>
          <w:tcPr>
            <w:tcW w:type="dxa" w:w="36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Prospectos registrados digitalmente</w:t>
            </w:r>
          </w:p>
        </w:tc>
        <w:tc>
          <w:tcPr>
            <w:tcW w:type="dxa" w:w="288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0% (papel/WhatsApp)</w:t>
            </w:r>
          </w:p>
        </w:tc>
        <w:tc>
          <w:tcPr>
            <w:tcW w:type="dxa" w:w="2880"/>
            <w:shd w:fill="FFFFFF" w:val="clear"/>
            <w:tcMar>
              <w:top w:type="dxa" w:w="60"/>
              <w:left w:type="dxa" w:w="100"/>
              <w:bottom w:type="dxa" w:w="60"/>
              <w:right w:type="dxa" w:w="100"/>
            </w:tcMar>
            <w:vAlign w:val="center"/>
          </w:tcPr>
          <w:p>
            <w:pPr>
              <w:spacing w:after="40" w:before="40"/>
              <w:jc w:val="left"/>
            </w:pPr>
            <w:r>
              <w:rPr>
                <w:b/>
                <w:bCs/>
                <w:color w:val="548235"/>
                <w:sz w:val="20"/>
                <w:szCs w:val="20"/>
              </w:rPr>
              <w:t xml:space="preserve">100% por app</w:t>
            </w:r>
          </w:p>
        </w:tc>
      </w:tr>
      <w:tr>
        <w:tc>
          <w:tcPr>
            <w:tcW w:type="dxa" w:w="3600"/>
            <w:shd w:fill="FFFFFF" w:val="clear"/>
            <w:tcMar>
              <w:top w:type="dxa" w:w="60"/>
              <w:left w:type="dxa" w:w="100"/>
              <w:bottom w:type="dxa" w:w="60"/>
              <w:right w:type="dxa" w:w="100"/>
            </w:tcMar>
            <w:vAlign w:val="center"/>
          </w:tcPr>
          <w:p>
            <w:pPr>
              <w:spacing w:after="40" w:before="40"/>
              <w:jc w:val="left"/>
            </w:pPr>
            <w:r>
              <w:rPr>
                <w:b/>
                <w:bCs/>
                <w:color w:val="222222"/>
                <w:sz w:val="20"/>
                <w:szCs w:val="20"/>
              </w:rPr>
              <w:t xml:space="preserve">Tasa de morosidad</w:t>
            </w:r>
          </w:p>
        </w:tc>
        <w:tc>
          <w:tcPr>
            <w:tcW w:type="dxa" w:w="288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Sin control preciso</w:t>
            </w:r>
          </w:p>
        </w:tc>
        <w:tc>
          <w:tcPr>
            <w:tcW w:type="dxa" w:w="2880"/>
            <w:shd w:fill="FFFFFF" w:val="clear"/>
            <w:tcMar>
              <w:top w:type="dxa" w:w="60"/>
              <w:left w:type="dxa" w:w="100"/>
              <w:bottom w:type="dxa" w:w="60"/>
              <w:right w:type="dxa" w:w="100"/>
            </w:tcMar>
            <w:vAlign w:val="center"/>
          </w:tcPr>
          <w:p>
            <w:pPr>
              <w:spacing w:after="40" w:before="40"/>
              <w:jc w:val="left"/>
            </w:pPr>
            <w:r>
              <w:rPr>
                <w:b/>
                <w:bCs/>
                <w:color w:val="548235"/>
                <w:sz w:val="20"/>
                <w:szCs w:val="20"/>
              </w:rPr>
              <w:t xml:space="preserve">Reducción ≥ 2%</w:t>
            </w:r>
          </w:p>
        </w:tc>
      </w:tr>
    </w:tbl>
    <w:p>
      <w:r>
        <w:br w:type="page"/>
      </w:r>
    </w:p>
    <w:p>
      <w:pPr>
        <w:pStyle w:val="Heading1"/>
        <w:spacing w:after="160" w:before="320"/>
      </w:pPr>
      <w:r>
        <w:rPr>
          <w:b/>
          <w:bCs/>
          <w:color w:val="1F3864"/>
          <w:sz w:val="32"/>
          <w:szCs w:val="32"/>
        </w:rPr>
        <w:t xml:space="preserve">2.4 Estimación de Costos</w:t>
      </w:r>
    </w:p>
    <w:p>
      <w:pPr>
        <w:spacing w:after="120" w:line="276"/>
        <w:jc w:val="both"/>
      </w:pPr>
      <w:r>
        <w:rPr>
          <w:color w:val="222222"/>
          <w:sz w:val="22"/>
          <w:szCs w:val="22"/>
        </w:rPr>
        <w:t xml:space="preserve">La estimación de costos distingue entre la inversión inicial (única, al arranque), los costos operativos y de mantenimiento (recurrentes) y el valor de mercado del desarrollo (que WISP no paga, pues lo aporta el equipo del proyecto, pero que se cuantifica para medir el ahorro y el retorno real).</w:t>
      </w:r>
    </w:p>
    <w:p>
      <w:pPr>
        <w:pStyle w:val="Heading2"/>
        <w:spacing w:after="120" w:before="260"/>
      </w:pPr>
      <w:r>
        <w:rPr>
          <w:b/>
          <w:bCs/>
          <w:color w:val="2E5496"/>
          <w:sz w:val="26"/>
          <w:szCs w:val="26"/>
        </w:rPr>
        <w:t xml:space="preserve">Inversión inicial (asumida por WISP)</w:t>
      </w:r>
    </w:p>
    <w:p>
      <w:pPr>
        <w:spacing w:after="120" w:line="276"/>
        <w:jc w:val="both"/>
      </w:pPr>
      <w:r>
        <w:rPr>
          <w:color w:val="222222"/>
          <w:sz w:val="22"/>
          <w:szCs w:val="22"/>
        </w:rPr>
        <w:t xml:space="preserve">El modelo del proyecto establece que el equipo de 4 integrantes desarrolla e implementa la solución, mientras que WISP asume únicamente la infraestructura de producción y la puesta en marcha:</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3200"/>
        <w:gridCol w:w="4360"/>
        <w:gridCol w:w="1800"/>
      </w:tblGrid>
      <w:tr>
        <w:trPr>
          <w:tblHeader/>
        </w:trPr>
        <w:tc>
          <w:tcPr>
            <w:tcW w:type="dxa" w:w="32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Concepto</w:t>
            </w:r>
          </w:p>
        </w:tc>
        <w:tc>
          <w:tcPr>
            <w:tcW w:type="dxa" w:w="43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Detalle</w:t>
            </w:r>
          </w:p>
        </w:tc>
        <w:tc>
          <w:tcPr>
            <w:tcW w:type="dxa" w:w="18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Costo (S/)</w:t>
            </w:r>
          </w:p>
        </w:tc>
      </w:tr>
      <w:tr>
        <w:tc>
          <w:tcPr>
            <w:tcW w:type="dxa" w:w="3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VPS en la nube (setup + 1er mes)</w:t>
            </w:r>
          </w:p>
        </w:tc>
        <w:tc>
          <w:tcPr>
            <w:tcW w:type="dxa" w:w="4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Servidor cloud nuevo para producción.</w:t>
            </w:r>
          </w:p>
        </w:tc>
        <w:tc>
          <w:tcPr>
            <w:tcW w:type="dxa" w:w="1800"/>
            <w:shd w:fill="FFFFFF" w:val="clear"/>
            <w:tcMar>
              <w:top w:type="dxa" w:w="60"/>
              <w:left w:type="dxa" w:w="100"/>
              <w:bottom w:type="dxa" w:w="60"/>
              <w:right w:type="dxa" w:w="100"/>
            </w:tcMar>
            <w:vAlign w:val="center"/>
          </w:tcPr>
          <w:p>
            <w:pPr>
              <w:spacing w:after="40" w:before="40"/>
              <w:jc w:val="right"/>
            </w:pPr>
            <w:r>
              <w:rPr>
                <w:b w:val="false"/>
                <w:bCs w:val="false"/>
                <w:color w:val="222222"/>
                <w:sz w:val="20"/>
                <w:szCs w:val="20"/>
              </w:rPr>
              <w:t xml:space="preserve">150</w:t>
            </w:r>
          </w:p>
        </w:tc>
      </w:tr>
      <w:tr>
        <w:tc>
          <w:tcPr>
            <w:tcW w:type="dxa" w:w="3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Dominio web</w:t>
            </w:r>
          </w:p>
        </w:tc>
        <w:tc>
          <w:tcPr>
            <w:tcW w:type="dxa" w:w="4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Registro de dominio nuevo (.com/.pe), anual.</w:t>
            </w:r>
          </w:p>
        </w:tc>
        <w:tc>
          <w:tcPr>
            <w:tcW w:type="dxa" w:w="1800"/>
            <w:shd w:fill="FFFFFF" w:val="clear"/>
            <w:tcMar>
              <w:top w:type="dxa" w:w="60"/>
              <w:left w:type="dxa" w:w="100"/>
              <w:bottom w:type="dxa" w:w="60"/>
              <w:right w:type="dxa" w:w="100"/>
            </w:tcMar>
            <w:vAlign w:val="center"/>
          </w:tcPr>
          <w:p>
            <w:pPr>
              <w:spacing w:after="40" w:before="40"/>
              <w:jc w:val="right"/>
            </w:pPr>
            <w:r>
              <w:rPr>
                <w:b w:val="false"/>
                <w:bCs w:val="false"/>
                <w:color w:val="222222"/>
                <w:sz w:val="20"/>
                <w:szCs w:val="20"/>
              </w:rPr>
              <w:t xml:space="preserve">60</w:t>
            </w:r>
          </w:p>
        </w:tc>
      </w:tr>
      <w:tr>
        <w:tc>
          <w:tcPr>
            <w:tcW w:type="dxa" w:w="3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Certificado SSL / correo corporativo</w:t>
            </w:r>
          </w:p>
        </w:tc>
        <w:tc>
          <w:tcPr>
            <w:tcW w:type="dxa" w:w="4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Seguridad y correo institucional.</w:t>
            </w:r>
          </w:p>
        </w:tc>
        <w:tc>
          <w:tcPr>
            <w:tcW w:type="dxa" w:w="1800"/>
            <w:shd w:fill="FFFFFF" w:val="clear"/>
            <w:tcMar>
              <w:top w:type="dxa" w:w="60"/>
              <w:left w:type="dxa" w:w="100"/>
              <w:bottom w:type="dxa" w:w="60"/>
              <w:right w:type="dxa" w:w="100"/>
            </w:tcMar>
            <w:vAlign w:val="center"/>
          </w:tcPr>
          <w:p>
            <w:pPr>
              <w:spacing w:after="40" w:before="40"/>
              <w:jc w:val="right"/>
            </w:pPr>
            <w:r>
              <w:rPr>
                <w:b w:val="false"/>
                <w:bCs w:val="false"/>
                <w:color w:val="222222"/>
                <w:sz w:val="20"/>
                <w:szCs w:val="20"/>
              </w:rPr>
              <w:t xml:space="preserve">90</w:t>
            </w:r>
          </w:p>
        </w:tc>
      </w:tr>
      <w:tr>
        <w:tc>
          <w:tcPr>
            <w:tcW w:type="dxa" w:w="3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Migración de datos y puesta en marcha</w:t>
            </w:r>
          </w:p>
        </w:tc>
        <w:tc>
          <w:tcPr>
            <w:tcW w:type="dxa" w:w="4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Migración de clientes del sistema heredado y MikroTiks.</w:t>
            </w:r>
          </w:p>
        </w:tc>
        <w:tc>
          <w:tcPr>
            <w:tcW w:type="dxa" w:w="1800"/>
            <w:shd w:fill="FFFFFF" w:val="clear"/>
            <w:tcMar>
              <w:top w:type="dxa" w:w="60"/>
              <w:left w:type="dxa" w:w="100"/>
              <w:bottom w:type="dxa" w:w="60"/>
              <w:right w:type="dxa" w:w="100"/>
            </w:tcMar>
            <w:vAlign w:val="center"/>
          </w:tcPr>
          <w:p>
            <w:pPr>
              <w:spacing w:after="40" w:before="40"/>
              <w:jc w:val="right"/>
            </w:pPr>
            <w:r>
              <w:rPr>
                <w:b w:val="false"/>
                <w:bCs w:val="false"/>
                <w:color w:val="222222"/>
                <w:sz w:val="20"/>
                <w:szCs w:val="20"/>
              </w:rPr>
              <w:t xml:space="preserve">300</w:t>
            </w:r>
          </w:p>
        </w:tc>
      </w:tr>
      <w:tr>
        <w:tc>
          <w:tcPr>
            <w:tcW w:type="dxa" w:w="3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Capacitación al personal</w:t>
            </w:r>
          </w:p>
        </w:tc>
        <w:tc>
          <w:tcPr>
            <w:tcW w:type="dxa" w:w="4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2 sesiones para admin, técnicos y vendedores.</w:t>
            </w:r>
          </w:p>
        </w:tc>
        <w:tc>
          <w:tcPr>
            <w:tcW w:type="dxa" w:w="1800"/>
            <w:shd w:fill="FFFFFF" w:val="clear"/>
            <w:tcMar>
              <w:top w:type="dxa" w:w="60"/>
              <w:left w:type="dxa" w:w="100"/>
              <w:bottom w:type="dxa" w:w="60"/>
              <w:right w:type="dxa" w:w="100"/>
            </w:tcMar>
            <w:vAlign w:val="center"/>
          </w:tcPr>
          <w:p>
            <w:pPr>
              <w:spacing w:after="40" w:before="40"/>
              <w:jc w:val="right"/>
            </w:pPr>
            <w:r>
              <w:rPr>
                <w:b w:val="false"/>
                <w:bCs w:val="false"/>
                <w:color w:val="222222"/>
                <w:sz w:val="20"/>
                <w:szCs w:val="20"/>
              </w:rPr>
              <w:t xml:space="preserve">200</w:t>
            </w:r>
          </w:p>
        </w:tc>
      </w:tr>
      <w:tr>
        <w:tc>
          <w:tcPr>
            <w:tcW w:type="dxa" w:w="3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Contingencia / imprevistos</w:t>
            </w:r>
          </w:p>
        </w:tc>
        <w:tc>
          <w:tcPr>
            <w:tcW w:type="dxa" w:w="4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Reserva para imprevistos (~10%).</w:t>
            </w:r>
          </w:p>
        </w:tc>
        <w:tc>
          <w:tcPr>
            <w:tcW w:type="dxa" w:w="1800"/>
            <w:shd w:fill="FFFFFF" w:val="clear"/>
            <w:tcMar>
              <w:top w:type="dxa" w:w="60"/>
              <w:left w:type="dxa" w:w="100"/>
              <w:bottom w:type="dxa" w:w="60"/>
              <w:right w:type="dxa" w:w="100"/>
            </w:tcMar>
            <w:vAlign w:val="center"/>
          </w:tcPr>
          <w:p>
            <w:pPr>
              <w:spacing w:after="40" w:before="40"/>
              <w:jc w:val="right"/>
            </w:pPr>
            <w:r>
              <w:rPr>
                <w:b w:val="false"/>
                <w:bCs w:val="false"/>
                <w:color w:val="222222"/>
                <w:sz w:val="20"/>
                <w:szCs w:val="20"/>
              </w:rPr>
              <w:t xml:space="preserve">200</w:t>
            </w:r>
          </w:p>
        </w:tc>
      </w:tr>
      <w:tr>
        <w:tc>
          <w:tcPr>
            <w:tcW w:type="dxa" w:w="3200"/>
            <w:shd w:fill="2E5496" w:val="clear"/>
            <w:tcMar>
              <w:top w:type="dxa" w:w="60"/>
              <w:left w:type="dxa" w:w="100"/>
              <w:bottom w:type="dxa" w:w="60"/>
              <w:right w:type="dxa" w:w="100"/>
            </w:tcMar>
            <w:vAlign w:val="center"/>
          </w:tcPr>
          <w:p>
            <w:pPr>
              <w:spacing w:after="40" w:before="40"/>
              <w:jc w:val="left"/>
            </w:pPr>
            <w:r>
              <w:rPr>
                <w:b/>
                <w:bCs/>
                <w:color w:val="FFFFFF"/>
                <w:sz w:val="20"/>
                <w:szCs w:val="20"/>
              </w:rPr>
              <w:t xml:space="preserve">TOTAL INVERSIÓN INICIAL</w:t>
            </w:r>
          </w:p>
        </w:tc>
        <w:tc>
          <w:tcPr>
            <w:tcW w:type="dxa" w:w="4360"/>
            <w:shd w:fill="2E5496" w:val="clear"/>
            <w:tcMar>
              <w:top w:type="dxa" w:w="60"/>
              <w:left w:type="dxa" w:w="100"/>
              <w:bottom w:type="dxa" w:w="60"/>
              <w:right w:type="dxa" w:w="100"/>
            </w:tcMar>
            <w:vAlign w:val="center"/>
          </w:tcPr>
          <w:p>
            <w:pPr>
              <w:spacing w:after="40" w:before="40"/>
              <w:jc w:val="left"/>
            </w:pPr>
            <w:r>
              <w:rPr>
                <w:b/>
                <w:bCs/>
                <w:color w:val="FFFFFF"/>
                <w:sz w:val="20"/>
                <w:szCs w:val="20"/>
              </w:rPr>
              <w:t xml:space="preserve">Desembolso real de WISP al arranque</w:t>
            </w:r>
          </w:p>
        </w:tc>
        <w:tc>
          <w:tcPr>
            <w:tcW w:type="dxa" w:w="1800"/>
            <w:shd w:fill="2E5496" w:val="clear"/>
            <w:tcMar>
              <w:top w:type="dxa" w:w="60"/>
              <w:left w:type="dxa" w:w="100"/>
              <w:bottom w:type="dxa" w:w="60"/>
              <w:right w:type="dxa" w:w="100"/>
            </w:tcMar>
            <w:vAlign w:val="center"/>
          </w:tcPr>
          <w:p>
            <w:pPr>
              <w:spacing w:after="40" w:before="40"/>
              <w:jc w:val="right"/>
            </w:pPr>
            <w:r>
              <w:rPr>
                <w:b/>
                <w:bCs/>
                <w:color w:val="FFFFFF"/>
                <w:sz w:val="20"/>
                <w:szCs w:val="20"/>
              </w:rPr>
              <w:t xml:space="preserve">1 000</w:t>
            </w:r>
          </w:p>
        </w:tc>
      </w:tr>
    </w:tbl>
    <w:p>
      <w:pPr>
        <w:spacing w:after="80"/>
      </w:pPr>
      <w:r>
        <w:t xml:space="preserve"/>
      </w:r>
    </w:p>
    <w:p>
      <w:pPr>
        <w:pStyle w:val="Heading2"/>
        <w:spacing w:after="120" w:before="260"/>
      </w:pPr>
      <w:r>
        <w:rPr>
          <w:b/>
          <w:bCs/>
          <w:color w:val="2E5496"/>
          <w:sz w:val="26"/>
          <w:szCs w:val="26"/>
        </w:rPr>
        <w:t xml:space="preserve">Costos operativos y de mantenimiento (anuales)</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3200"/>
        <w:gridCol w:w="4360"/>
        <w:gridCol w:w="1800"/>
      </w:tblGrid>
      <w:tr>
        <w:trPr>
          <w:tblHeader/>
        </w:trPr>
        <w:tc>
          <w:tcPr>
            <w:tcW w:type="dxa" w:w="32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Concepto</w:t>
            </w:r>
          </w:p>
        </w:tc>
        <w:tc>
          <w:tcPr>
            <w:tcW w:type="dxa" w:w="43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Detalle</w:t>
            </w:r>
          </w:p>
        </w:tc>
        <w:tc>
          <w:tcPr>
            <w:tcW w:type="dxa" w:w="18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Costo anual (S/)</w:t>
            </w:r>
          </w:p>
        </w:tc>
      </w:tr>
      <w:tr>
        <w:tc>
          <w:tcPr>
            <w:tcW w:type="dxa" w:w="3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VPS mensual</w:t>
            </w:r>
          </w:p>
        </w:tc>
        <w:tc>
          <w:tcPr>
            <w:tcW w:type="dxa" w:w="4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Hosting del sistema en producción (S/ 130 × 12).</w:t>
            </w:r>
          </w:p>
        </w:tc>
        <w:tc>
          <w:tcPr>
            <w:tcW w:type="dxa" w:w="1800"/>
            <w:shd w:fill="FFFFFF" w:val="clear"/>
            <w:tcMar>
              <w:top w:type="dxa" w:w="60"/>
              <w:left w:type="dxa" w:w="100"/>
              <w:bottom w:type="dxa" w:w="60"/>
              <w:right w:type="dxa" w:w="100"/>
            </w:tcMar>
            <w:vAlign w:val="center"/>
          </w:tcPr>
          <w:p>
            <w:pPr>
              <w:spacing w:after="40" w:before="40"/>
              <w:jc w:val="right"/>
            </w:pPr>
            <w:r>
              <w:rPr>
                <w:b w:val="false"/>
                <w:bCs w:val="false"/>
                <w:color w:val="222222"/>
                <w:sz w:val="20"/>
                <w:szCs w:val="20"/>
              </w:rPr>
              <w:t xml:space="preserve">1 560</w:t>
            </w:r>
          </w:p>
        </w:tc>
      </w:tr>
      <w:tr>
        <w:tc>
          <w:tcPr>
            <w:tcW w:type="dxa" w:w="3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Renovación de dominio</w:t>
            </w:r>
          </w:p>
        </w:tc>
        <w:tc>
          <w:tcPr>
            <w:tcW w:type="dxa" w:w="4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Renovación anual del dominio.</w:t>
            </w:r>
          </w:p>
        </w:tc>
        <w:tc>
          <w:tcPr>
            <w:tcW w:type="dxa" w:w="1800"/>
            <w:shd w:fill="FFFFFF" w:val="clear"/>
            <w:tcMar>
              <w:top w:type="dxa" w:w="60"/>
              <w:left w:type="dxa" w:w="100"/>
              <w:bottom w:type="dxa" w:w="60"/>
              <w:right w:type="dxa" w:w="100"/>
            </w:tcMar>
            <w:vAlign w:val="center"/>
          </w:tcPr>
          <w:p>
            <w:pPr>
              <w:spacing w:after="40" w:before="40"/>
              <w:jc w:val="right"/>
            </w:pPr>
            <w:r>
              <w:rPr>
                <w:b w:val="false"/>
                <w:bCs w:val="false"/>
                <w:color w:val="222222"/>
                <w:sz w:val="20"/>
                <w:szCs w:val="20"/>
              </w:rPr>
              <w:t xml:space="preserve">60</w:t>
            </w:r>
          </w:p>
        </w:tc>
      </w:tr>
      <w:tr>
        <w:tc>
          <w:tcPr>
            <w:tcW w:type="dxa" w:w="3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Mantenimiento y soporte evolutivo</w:t>
            </w:r>
          </w:p>
        </w:tc>
        <w:tc>
          <w:tcPr>
            <w:tcW w:type="dxa" w:w="4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Ajustes, mejoras y soporte (S/ 150 × 12).</w:t>
            </w:r>
          </w:p>
        </w:tc>
        <w:tc>
          <w:tcPr>
            <w:tcW w:type="dxa" w:w="1800"/>
            <w:shd w:fill="FFFFFF" w:val="clear"/>
            <w:tcMar>
              <w:top w:type="dxa" w:w="60"/>
              <w:left w:type="dxa" w:w="100"/>
              <w:bottom w:type="dxa" w:w="60"/>
              <w:right w:type="dxa" w:w="100"/>
            </w:tcMar>
            <w:vAlign w:val="center"/>
          </w:tcPr>
          <w:p>
            <w:pPr>
              <w:spacing w:after="40" w:before="40"/>
              <w:jc w:val="right"/>
            </w:pPr>
            <w:r>
              <w:rPr>
                <w:b w:val="false"/>
                <w:bCs w:val="false"/>
                <w:color w:val="222222"/>
                <w:sz w:val="20"/>
                <w:szCs w:val="20"/>
              </w:rPr>
              <w:t xml:space="preserve">1 800</w:t>
            </w:r>
          </w:p>
        </w:tc>
      </w:tr>
      <w:tr>
        <w:tc>
          <w:tcPr>
            <w:tcW w:type="dxa" w:w="3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Respaldo / backup en nube</w:t>
            </w:r>
          </w:p>
        </w:tc>
        <w:tc>
          <w:tcPr>
            <w:tcW w:type="dxa" w:w="4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Copias de seguridad (S/ 30 × 12).</w:t>
            </w:r>
          </w:p>
        </w:tc>
        <w:tc>
          <w:tcPr>
            <w:tcW w:type="dxa" w:w="1800"/>
            <w:shd w:fill="FFFFFF" w:val="clear"/>
            <w:tcMar>
              <w:top w:type="dxa" w:w="60"/>
              <w:left w:type="dxa" w:w="100"/>
              <w:bottom w:type="dxa" w:w="60"/>
              <w:right w:type="dxa" w:w="100"/>
            </w:tcMar>
            <w:vAlign w:val="center"/>
          </w:tcPr>
          <w:p>
            <w:pPr>
              <w:spacing w:after="40" w:before="40"/>
              <w:jc w:val="right"/>
            </w:pPr>
            <w:r>
              <w:rPr>
                <w:b w:val="false"/>
                <w:bCs w:val="false"/>
                <w:color w:val="222222"/>
                <w:sz w:val="20"/>
                <w:szCs w:val="20"/>
              </w:rPr>
              <w:t xml:space="preserve">360</w:t>
            </w:r>
          </w:p>
        </w:tc>
      </w:tr>
      <w:tr>
        <w:tc>
          <w:tcPr>
            <w:tcW w:type="dxa" w:w="3200"/>
            <w:shd w:fill="44546A" w:val="clear"/>
            <w:tcMar>
              <w:top w:type="dxa" w:w="60"/>
              <w:left w:type="dxa" w:w="100"/>
              <w:bottom w:type="dxa" w:w="60"/>
              <w:right w:type="dxa" w:w="100"/>
            </w:tcMar>
            <w:vAlign w:val="center"/>
          </w:tcPr>
          <w:p>
            <w:pPr>
              <w:spacing w:after="40" w:before="40"/>
              <w:jc w:val="left"/>
            </w:pPr>
            <w:r>
              <w:rPr>
                <w:b/>
                <w:bCs/>
                <w:color w:val="FFFFFF"/>
                <w:sz w:val="20"/>
                <w:szCs w:val="20"/>
              </w:rPr>
              <w:t xml:space="preserve">TOTAL COSTO OPERATIVO ANUAL</w:t>
            </w:r>
          </w:p>
        </w:tc>
        <w:tc>
          <w:tcPr>
            <w:tcW w:type="dxa" w:w="4360"/>
            <w:shd w:fill="44546A" w:val="clear"/>
            <w:tcMar>
              <w:top w:type="dxa" w:w="60"/>
              <w:left w:type="dxa" w:w="100"/>
              <w:bottom w:type="dxa" w:w="60"/>
              <w:right w:type="dxa" w:w="100"/>
            </w:tcMar>
            <w:vAlign w:val="center"/>
          </w:tcPr>
          <w:p>
            <w:pPr>
              <w:spacing w:after="40" w:before="40"/>
              <w:jc w:val="left"/>
            </w:pPr>
            <w:r>
              <w:rPr>
                <w:b/>
                <w:bCs/>
                <w:color w:val="FFFFFF"/>
                <w:sz w:val="20"/>
                <w:szCs w:val="20"/>
              </w:rPr>
              <w:t xml:space="preserve">≈ S/ 315 mensuales</w:t>
            </w:r>
          </w:p>
        </w:tc>
        <w:tc>
          <w:tcPr>
            <w:tcW w:type="dxa" w:w="1800"/>
            <w:shd w:fill="44546A" w:val="clear"/>
            <w:tcMar>
              <w:top w:type="dxa" w:w="60"/>
              <w:left w:type="dxa" w:w="100"/>
              <w:bottom w:type="dxa" w:w="60"/>
              <w:right w:type="dxa" w:w="100"/>
            </w:tcMar>
            <w:vAlign w:val="center"/>
          </w:tcPr>
          <w:p>
            <w:pPr>
              <w:spacing w:after="40" w:before="40"/>
              <w:jc w:val="right"/>
            </w:pPr>
            <w:r>
              <w:rPr>
                <w:b/>
                <w:bCs/>
                <w:color w:val="FFFFFF"/>
                <w:sz w:val="20"/>
                <w:szCs w:val="20"/>
              </w:rPr>
              <w:t xml:space="preserve">3 780</w:t>
            </w:r>
          </w:p>
        </w:tc>
      </w:tr>
    </w:tbl>
    <w:p>
      <w:pPr>
        <w:spacing w:after="80"/>
      </w:pPr>
      <w:r>
        <w:t xml:space="preserve"/>
      </w:r>
    </w:p>
    <w:tbl>
      <w:tblPr>
        <w:tblW w:type="dxa" w:w="9360"/>
        <w:tblBorders>
          <w:top w:val="single" w:color="548235" w:sz="2"/>
          <w:left w:val="single" w:color="548235" w:sz="24"/>
          <w:bottom w:val="single" w:color="548235" w:sz="2"/>
          <w:right w:val="single" w:color="548235" w:sz="2"/>
          <w:insideH w:val="single" w:color="auto" w:sz="4"/>
          <w:insideV w:val="single" w:color="auto" w:sz="4"/>
        </w:tblBorders>
      </w:tblPr>
      <w:tblGrid>
        <w:gridCol w:w="9360"/>
      </w:tblGrid>
      <w:tr>
        <w:tc>
          <w:tcPr>
            <w:tcW w:type="dxa" w:w="9360"/>
            <w:shd w:fill="E2EFDA" w:val="clear"/>
            <w:tcMar>
              <w:top w:type="dxa" w:w="100"/>
              <w:left w:type="dxa" w:w="160"/>
              <w:bottom w:type="dxa" w:w="100"/>
              <w:right w:type="dxa" w:w="160"/>
            </w:tcMar>
          </w:tcPr>
          <w:p>
            <w:pPr>
              <w:spacing w:after="60"/>
            </w:pPr>
            <w:r>
              <w:rPr>
                <w:b/>
                <w:bCs/>
                <w:color w:val="548235"/>
                <w:sz w:val="22"/>
                <w:szCs w:val="22"/>
              </w:rPr>
              <w:t xml:space="preserve">Valor de mercado del desarrollo (ahorro para WISP)</w:t>
            </w:r>
          </w:p>
          <w:p>
            <w:pPr>
              <w:jc w:val="both"/>
            </w:pPr>
            <w:r>
              <w:rPr>
                <w:color w:val="333333"/>
                <w:sz w:val="21"/>
                <w:szCs w:val="21"/>
              </w:rPr>
              <w:t xml:space="preserve">Si WISP hubiera contratado el desarrollo de este sistema (web + app móvil + integración con MikroTik) a una empresa de software, el costo de mercado se estima en aproximadamente S/ 30 000. Al ser desarrollado por el equipo del proyecto de fin de carrera, WISP no incurre en este costo, lo que representa un ahorro directo de esa magnitud. Este valor se utiliza como referencia en el escenario riguroso de la evaluación financiera.</w:t>
            </w:r>
          </w:p>
        </w:tc>
      </w:tr>
    </w:tbl>
    <w:p>
      <w:r>
        <w:br w:type="page"/>
      </w:r>
    </w:p>
    <w:p>
      <w:pPr>
        <w:pStyle w:val="Heading1"/>
        <w:spacing w:after="160" w:before="320"/>
      </w:pPr>
      <w:r>
        <w:rPr>
          <w:b/>
          <w:bCs/>
          <w:color w:val="1F3864"/>
          <w:sz w:val="32"/>
          <w:szCs w:val="32"/>
        </w:rPr>
        <w:t xml:space="preserve">Retorno esperado — Evaluación financiera</w:t>
      </w:r>
    </w:p>
    <w:tbl>
      <w:tblPr>
        <w:tblW w:type="dxa" w:w="9360"/>
        <w:tblBorders>
          <w:top w:val="single" w:color="44546A" w:sz="2"/>
          <w:left w:val="single" w:color="44546A" w:sz="2"/>
          <w:bottom w:val="single" w:color="44546A" w:sz="2"/>
          <w:right w:val="single" w:color="44546A" w:sz="2"/>
          <w:insideH w:val="single" w:color="auto" w:sz="4"/>
          <w:insideV w:val="single" w:color="auto" w:sz="4"/>
        </w:tblBorders>
      </w:tblPr>
      <w:tblGrid>
        <w:gridCol w:w="9360"/>
      </w:tblGrid>
      <w:tr>
        <w:tc>
          <w:tcPr>
            <w:tcW w:type="dxa" w:w="9360"/>
            <w:shd w:fill="F2F2F2" w:val="clear"/>
            <w:tcMar>
              <w:top w:type="dxa" w:w="70"/>
              <w:left w:type="dxa" w:w="140"/>
              <w:bottom w:type="dxa" w:w="70"/>
              <w:right w:type="dxa" w:w="140"/>
            </w:tcMar>
          </w:tcPr>
          <w:p>
            <w:pPr>
              <w:jc w:val="both"/>
            </w:pPr>
            <w:r>
              <w:rPr>
                <w:b/>
                <w:bCs/>
                <w:color w:val="2E5496"/>
                <w:sz w:val="19"/>
                <w:szCs w:val="19"/>
              </w:rPr>
              <w:t xml:space="preserve">Fundamento metodológico: </w:t>
            </w:r>
            <w:r>
              <w:rPr>
                <w:i/>
                <w:iCs/>
                <w:color w:val="444444"/>
                <w:sz w:val="19"/>
                <w:szCs w:val="19"/>
              </w:rPr>
              <w:t xml:space="preserve">La evaluación se realiza con los indicadores de finanzas corporativas: ROI (retorno sobre la inversión), Período de Recuperación (Payback), VAN (Valor Actual Neto) y TIR (Tasa Interna de Retorno). VAN y TIR incorporan el valor del dinero en el tiempo mediante una tasa de descuento del 12% anual, referencial para proyectos de TI en el contexto peruano (ajustable por la empresa).</w:t>
            </w:r>
          </w:p>
        </w:tc>
      </w:tr>
    </w:tbl>
    <w:p>
      <w:pPr>
        <w:spacing w:after="80"/>
      </w:pPr>
      <w:r>
        <w:t xml:space="preserve"/>
      </w:r>
    </w:p>
    <w:p>
      <w:pPr>
        <w:spacing w:after="120" w:line="276"/>
        <w:jc w:val="both"/>
      </w:pPr>
      <w:r>
        <w:rPr>
          <w:color w:val="222222"/>
          <w:sz w:val="22"/>
          <w:szCs w:val="22"/>
        </w:rPr>
        <w:t xml:space="preserve">El beneficio neto anual del proyecto se obtiene restando los costos operativos al beneficio bruto anual: S/ 27 486 − S/ 3 780 = S/ 23 706.</w:t>
      </w:r>
    </w:p>
    <w:p>
      <w:pPr>
        <w:spacing w:after="120" w:line="276"/>
        <w:jc w:val="both"/>
      </w:pPr>
      <w:r>
        <w:rPr>
          <w:b/>
          <w:bCs/>
          <w:color w:val="222222"/>
          <w:sz w:val="22"/>
          <w:szCs w:val="22"/>
        </w:rPr>
        <w:t xml:space="preserve">Se presentan dos escenarios de evaluación:</w:t>
      </w:r>
    </w:p>
    <w:p>
      <w:pPr>
        <w:pStyle w:val="ListParagraph"/>
        <w:numPr>
          <w:ilvl w:val="0"/>
          <w:numId w:val="2"/>
        </w:numPr>
        <w:spacing w:after="60" w:line="264"/>
      </w:pPr>
      <w:r>
        <w:rPr>
          <w:b/>
          <w:bCs/>
          <w:sz w:val="22"/>
          <w:szCs w:val="22"/>
        </w:rPr>
        <w:t xml:space="preserve">Escenario A (costo real para WISP): </w:t>
      </w:r>
      <w:r>
        <w:rPr>
          <w:sz w:val="22"/>
          <w:szCs w:val="22"/>
        </w:rPr>
        <w:t xml:space="preserve">considera solo el desembolso real de la empresa (S/ 1 000). Refleja el retorno efectivo que obtiene WISP.</w:t>
      </w:r>
    </w:p>
    <w:p>
      <w:pPr>
        <w:pStyle w:val="ListParagraph"/>
        <w:numPr>
          <w:ilvl w:val="0"/>
          <w:numId w:val="2"/>
        </w:numPr>
        <w:spacing w:after="60" w:line="264"/>
      </w:pPr>
      <w:r>
        <w:rPr>
          <w:b/>
          <w:bCs/>
          <w:sz w:val="22"/>
          <w:szCs w:val="22"/>
        </w:rPr>
        <w:t xml:space="preserve">Escenario B (riguroso, con valor de mercado): </w:t>
      </w:r>
      <w:r>
        <w:rPr>
          <w:sz w:val="22"/>
          <w:szCs w:val="22"/>
        </w:rPr>
        <w:t xml:space="preserve">considera la inversión como si se hubiera pagado el desarrollo a precio de mercado (S/ 30 000). Es el análisis financiero conservador y defendible.</w:t>
      </w:r>
    </w:p>
    <w:p>
      <w:pPr>
        <w:spacing w:after="80"/>
      </w:pPr>
      <w:r>
        <w:t xml:space="preserve"/>
      </w:r>
    </w:p>
    <w:tbl>
      <w:tblPr>
        <w:tblW w:type="dxa" w:w="9460"/>
        <w:tblBorders>
          <w:top w:val="single" w:color="44546A" w:sz="4"/>
          <w:left w:val="single" w:color="44546A" w:sz="4"/>
          <w:bottom w:val="single" w:color="44546A" w:sz="4"/>
          <w:right w:val="single" w:color="44546A" w:sz="4"/>
          <w:insideH w:val="single" w:color="BBBBBB" w:sz="2"/>
          <w:insideV w:val="single" w:color="BBBBBB" w:sz="2"/>
        </w:tblBorders>
      </w:tblPr>
      <w:tblGrid>
        <w:gridCol w:w="2200"/>
        <w:gridCol w:w="2100"/>
        <w:gridCol w:w="2100"/>
        <w:gridCol w:w="3060"/>
      </w:tblGrid>
      <w:tr>
        <w:trPr>
          <w:tblHeader/>
        </w:trPr>
        <w:tc>
          <w:tcPr>
            <w:tcW w:type="dxa" w:w="22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Indicador</w:t>
            </w:r>
          </w:p>
        </w:tc>
        <w:tc>
          <w:tcPr>
            <w:tcW w:type="dxa" w:w="21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Escenario A
(costo real WISP)</w:t>
            </w:r>
          </w:p>
        </w:tc>
        <w:tc>
          <w:tcPr>
            <w:tcW w:type="dxa" w:w="21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Escenario B
(valor de mercado)</w:t>
            </w:r>
          </w:p>
        </w:tc>
        <w:tc>
          <w:tcPr>
            <w:tcW w:type="dxa" w:w="30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Interpretación</w:t>
            </w:r>
          </w:p>
        </w:tc>
      </w:tr>
      <w:tr>
        <w:tc>
          <w:tcPr>
            <w:tcW w:type="dxa" w:w="2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Inversión</w:t>
            </w:r>
          </w:p>
        </w:tc>
        <w:tc>
          <w:tcPr>
            <w:tcW w:type="dxa" w:w="2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S/ 1 000</w:t>
            </w:r>
          </w:p>
        </w:tc>
        <w:tc>
          <w:tcPr>
            <w:tcW w:type="dxa" w:w="2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S/ 30 000</w:t>
            </w:r>
          </w:p>
        </w:tc>
        <w:tc>
          <w:tcPr>
            <w:tcW w:type="dxa" w:w="30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Desembolso considerado.</w:t>
            </w:r>
          </w:p>
        </w:tc>
      </w:tr>
      <w:tr>
        <w:tc>
          <w:tcPr>
            <w:tcW w:type="dxa" w:w="2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Beneficio neto anual</w:t>
            </w:r>
          </w:p>
        </w:tc>
        <w:tc>
          <w:tcPr>
            <w:tcW w:type="dxa" w:w="2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S/ 23 706</w:t>
            </w:r>
          </w:p>
        </w:tc>
        <w:tc>
          <w:tcPr>
            <w:tcW w:type="dxa" w:w="2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S/ 23 706</w:t>
            </w:r>
          </w:p>
        </w:tc>
        <w:tc>
          <w:tcPr>
            <w:tcW w:type="dxa" w:w="30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Igual en ambos: el flujo es el mismo.</w:t>
            </w:r>
          </w:p>
        </w:tc>
      </w:tr>
      <w:tr>
        <w:tc>
          <w:tcPr>
            <w:tcW w:type="dxa" w:w="2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ROI (año 1)</w:t>
            </w:r>
          </w:p>
        </w:tc>
        <w:tc>
          <w:tcPr>
            <w:tcW w:type="dxa" w:w="21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1 876%</w:t>
            </w:r>
          </w:p>
        </w:tc>
        <w:tc>
          <w:tcPr>
            <w:tcW w:type="dxa" w:w="210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−21%</w:t>
            </w:r>
          </w:p>
        </w:tc>
        <w:tc>
          <w:tcPr>
            <w:tcW w:type="dxa" w:w="30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En B se recupera desde el año 2.</w:t>
            </w:r>
          </w:p>
        </w:tc>
      </w:tr>
      <w:tr>
        <w:tc>
          <w:tcPr>
            <w:tcW w:type="dxa" w:w="2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Payback</w:t>
            </w:r>
          </w:p>
        </w:tc>
        <w:tc>
          <w:tcPr>
            <w:tcW w:type="dxa" w:w="21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0.6 meses</w:t>
            </w:r>
          </w:p>
        </w:tc>
        <w:tc>
          <w:tcPr>
            <w:tcW w:type="dxa" w:w="21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15.2 meses</w:t>
            </w:r>
          </w:p>
        </w:tc>
        <w:tc>
          <w:tcPr>
            <w:tcW w:type="dxa" w:w="30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Recuperación rápida en ambos casos.</w:t>
            </w:r>
          </w:p>
        </w:tc>
      </w:tr>
      <w:tr>
        <w:tc>
          <w:tcPr>
            <w:tcW w:type="dxa" w:w="2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VAN (3 años, 12%)</w:t>
            </w:r>
          </w:p>
        </w:tc>
        <w:tc>
          <w:tcPr>
            <w:tcW w:type="dxa" w:w="21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S/ 55 738</w:t>
            </w:r>
          </w:p>
        </w:tc>
        <w:tc>
          <w:tcPr>
            <w:tcW w:type="dxa" w:w="21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S/ 26 938</w:t>
            </w:r>
          </w:p>
        </w:tc>
        <w:tc>
          <w:tcPr>
            <w:tcW w:type="dxa" w:w="30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VAN &gt; 0 → proyecto viable.</w:t>
            </w:r>
          </w:p>
        </w:tc>
      </w:tr>
      <w:tr>
        <w:tc>
          <w:tcPr>
            <w:tcW w:type="dxa" w:w="2200"/>
            <w:shd w:fill="FFFFFF" w:val="clear"/>
            <w:tcMar>
              <w:top w:type="dxa" w:w="60"/>
              <w:left w:type="dxa" w:w="100"/>
              <w:bottom w:type="dxa" w:w="60"/>
              <w:right w:type="dxa" w:w="100"/>
            </w:tcMar>
            <w:vAlign w:val="center"/>
          </w:tcPr>
          <w:p>
            <w:pPr>
              <w:spacing w:after="40" w:before="40"/>
              <w:jc w:val="left"/>
            </w:pPr>
            <w:r>
              <w:rPr>
                <w:b/>
                <w:bCs/>
                <w:color w:val="1F3864"/>
                <w:sz w:val="20"/>
                <w:szCs w:val="20"/>
              </w:rPr>
              <w:t xml:space="preserve">TIR</w:t>
            </w:r>
          </w:p>
        </w:tc>
        <w:tc>
          <w:tcPr>
            <w:tcW w:type="dxa" w:w="21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&gt;1 000%</w:t>
            </w:r>
          </w:p>
        </w:tc>
        <w:tc>
          <w:tcPr>
            <w:tcW w:type="dxa" w:w="2100"/>
            <w:shd w:fill="FFFFFF" w:val="clear"/>
            <w:tcMar>
              <w:top w:type="dxa" w:w="60"/>
              <w:left w:type="dxa" w:w="100"/>
              <w:bottom w:type="dxa" w:w="60"/>
              <w:right w:type="dxa" w:w="100"/>
            </w:tcMar>
            <w:vAlign w:val="center"/>
          </w:tcPr>
          <w:p>
            <w:pPr>
              <w:spacing w:after="40" w:before="40"/>
              <w:jc w:val="center"/>
            </w:pPr>
            <w:r>
              <w:rPr>
                <w:b/>
                <w:bCs/>
                <w:color w:val="548235"/>
                <w:sz w:val="20"/>
                <w:szCs w:val="20"/>
              </w:rPr>
              <w:t xml:space="preserve">60%</w:t>
            </w:r>
          </w:p>
        </w:tc>
        <w:tc>
          <w:tcPr>
            <w:tcW w:type="dxa" w:w="30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TIR ≫ 12% → muy rentable.</w:t>
            </w:r>
          </w:p>
        </w:tc>
      </w:tr>
    </w:tbl>
    <w:p>
      <w:pPr>
        <w:spacing w:after="80"/>
      </w:pPr>
      <w:r>
        <w:t xml:space="preserve"/>
      </w:r>
    </w:p>
    <w:tbl>
      <w:tblPr>
        <w:tblW w:type="dxa" w:w="9360"/>
        <w:tblBorders>
          <w:top w:val="single" w:color="548235" w:sz="2"/>
          <w:left w:val="single" w:color="548235" w:sz="24"/>
          <w:bottom w:val="single" w:color="548235" w:sz="2"/>
          <w:right w:val="single" w:color="548235" w:sz="2"/>
          <w:insideH w:val="single" w:color="auto" w:sz="4"/>
          <w:insideV w:val="single" w:color="auto" w:sz="4"/>
        </w:tblBorders>
      </w:tblPr>
      <w:tblGrid>
        <w:gridCol w:w="9360"/>
      </w:tblGrid>
      <w:tr>
        <w:tc>
          <w:tcPr>
            <w:tcW w:type="dxa" w:w="9360"/>
            <w:shd w:fill="E2EFDA" w:val="clear"/>
            <w:tcMar>
              <w:top w:type="dxa" w:w="100"/>
              <w:left w:type="dxa" w:w="160"/>
              <w:bottom w:type="dxa" w:w="100"/>
              <w:right w:type="dxa" w:w="160"/>
            </w:tcMar>
          </w:tcPr>
          <w:p>
            <w:pPr>
              <w:spacing w:after="60"/>
            </w:pPr>
            <w:r>
              <w:rPr>
                <w:b/>
                <w:bCs/>
                <w:color w:val="548235"/>
                <w:sz w:val="22"/>
                <w:szCs w:val="22"/>
              </w:rPr>
              <w:t xml:space="preserve">Conclusión de la evaluación financiera</w:t>
            </w:r>
          </w:p>
          <w:p>
            <w:pPr>
              <w:jc w:val="both"/>
            </w:pPr>
            <w:r>
              <w:rPr>
                <w:color w:val="333333"/>
                <w:sz w:val="21"/>
                <w:szCs w:val="21"/>
              </w:rPr>
              <w:t xml:space="preserve">En ambos escenarios el proyecto es financieramente viable: el VAN es positivo y la TIR supera ampliamente la tasa de descuento del 12%. Incluso bajo el escenario riguroso B —que asume el costo de mercado completo del desarrollo— el proyecto se recupera en poco más de 15 meses y genera un VAN de S/ 26 938 en tres años. Bajo el escenario real A, el retorno para WISP es prácticamente inmediato. La inversión está plenamente justificada.</w:t>
            </w:r>
          </w:p>
        </w:tc>
      </w:tr>
    </w:tbl>
    <w:p>
      <w:r>
        <w:br w:type="page"/>
      </w:r>
    </w:p>
    <w:p>
      <w:pPr>
        <w:pStyle w:val="Heading1"/>
        <w:spacing w:after="160" w:before="320"/>
      </w:pPr>
      <w:r>
        <w:rPr>
          <w:b/>
          <w:bCs/>
          <w:color w:val="1F3864"/>
          <w:sz w:val="32"/>
          <w:szCs w:val="32"/>
        </w:rPr>
        <w:t xml:space="preserve">2.5 Riesgos Iniciales</w:t>
      </w:r>
    </w:p>
    <w:tbl>
      <w:tblPr>
        <w:tblW w:type="dxa" w:w="9360"/>
        <w:tblBorders>
          <w:top w:val="single" w:color="44546A" w:sz="2"/>
          <w:left w:val="single" w:color="44546A" w:sz="2"/>
          <w:bottom w:val="single" w:color="44546A" w:sz="2"/>
          <w:right w:val="single" w:color="44546A" w:sz="2"/>
          <w:insideH w:val="single" w:color="auto" w:sz="4"/>
          <w:insideV w:val="single" w:color="auto" w:sz="4"/>
        </w:tblBorders>
      </w:tblPr>
      <w:tblGrid>
        <w:gridCol w:w="9360"/>
      </w:tblGrid>
      <w:tr>
        <w:tc>
          <w:tcPr>
            <w:tcW w:type="dxa" w:w="9360"/>
            <w:shd w:fill="F2F2F2" w:val="clear"/>
            <w:tcMar>
              <w:top w:type="dxa" w:w="70"/>
              <w:left w:type="dxa" w:w="140"/>
              <w:bottom w:type="dxa" w:w="70"/>
              <w:right w:type="dxa" w:w="140"/>
            </w:tcMar>
          </w:tcPr>
          <w:p>
            <w:pPr>
              <w:jc w:val="both"/>
            </w:pPr>
            <w:r>
              <w:rPr>
                <w:b/>
                <w:bCs/>
                <w:color w:val="2E5496"/>
                <w:sz w:val="19"/>
                <w:szCs w:val="19"/>
              </w:rPr>
              <w:t xml:space="preserve">Fundamento metodológico: </w:t>
            </w:r>
            <w:r>
              <w:rPr>
                <w:i/>
                <w:iCs/>
                <w:color w:val="444444"/>
                <w:sz w:val="19"/>
                <w:szCs w:val="19"/>
              </w:rPr>
              <w:t xml:space="preserve">Los riesgos se evalúan siguiendo el enfoque de la Guía PMBOK (PMI): cada riesgo se valora por su Probabilidad y su Impacto, y el producto de ambos determina su nivel de severidad (Bajo, Medio, Alto), priorizando así la atención y las respuestas.</w:t>
            </w:r>
          </w:p>
        </w:tc>
      </w:tr>
    </w:tbl>
    <w:p>
      <w:pPr>
        <w:spacing w:after="80"/>
      </w:pPr>
      <w:r>
        <w:t xml:space="preserve"/>
      </w:r>
    </w:p>
    <w:p>
      <w:pPr>
        <w:pStyle w:val="Heading2"/>
        <w:spacing w:after="120" w:before="260"/>
      </w:pPr>
      <w:r>
        <w:rPr>
          <w:b/>
          <w:bCs/>
          <w:color w:val="2E5496"/>
          <w:sz w:val="26"/>
          <w:szCs w:val="26"/>
        </w:rPr>
        <w:t xml:space="preserve">Identificación de riesgos estratégicos</w:t>
      </w:r>
    </w:p>
    <w:p>
      <w:pPr>
        <w:spacing w:after="120" w:line="276"/>
        <w:jc w:val="both"/>
      </w:pPr>
      <w:r>
        <w:rPr>
          <w:color w:val="222222"/>
          <w:sz w:val="22"/>
          <w:szCs w:val="22"/>
        </w:rPr>
        <w:t xml:space="preserve">Se identifican los principales riesgos que podrían afectar la ejecución y adopción del proyecto:</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900"/>
        <w:gridCol w:w="6100"/>
        <w:gridCol w:w="2360"/>
      </w:tblGrid>
      <w:tr>
        <w:trPr>
          <w:tblHeader/>
        </w:trPr>
        <w:tc>
          <w:tcPr>
            <w:tcW w:type="dxa" w:w="9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ID</w:t>
            </w:r>
          </w:p>
        </w:tc>
        <w:tc>
          <w:tcPr>
            <w:tcW w:type="dxa" w:w="61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Riesgo</w:t>
            </w:r>
          </w:p>
        </w:tc>
        <w:tc>
          <w:tcPr>
            <w:tcW w:type="dxa" w:w="23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Categoría</w:t>
            </w:r>
          </w:p>
        </w:tc>
      </w:tr>
      <w:tr>
        <w:tc>
          <w:tcPr>
            <w:tcW w:type="dxa" w:w="9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R1</w:t>
            </w:r>
          </w:p>
        </w:tc>
        <w:tc>
          <w:tcPr>
            <w:tcW w:type="dxa" w:w="61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Baja adopción del sistema por el personal (técnicos/vendedoras) acostumbrado a WhatsApp.</w:t>
            </w:r>
          </w:p>
        </w:tc>
        <w:tc>
          <w:tcPr>
            <w:tcW w:type="dxa" w:w="2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Organizacional</w:t>
            </w:r>
          </w:p>
        </w:tc>
      </w:tr>
      <w:tr>
        <w:tc>
          <w:tcPr>
            <w:tcW w:type="dxa" w:w="9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R2</w:t>
            </w:r>
          </w:p>
        </w:tc>
        <w:tc>
          <w:tcPr>
            <w:tcW w:type="dxa" w:w="61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Fallo o incompatibilidad en la integración con los MikroTik vía API en alguna zona.</w:t>
            </w:r>
          </w:p>
        </w:tc>
        <w:tc>
          <w:tcPr>
            <w:tcW w:type="dxa" w:w="2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Técnico</w:t>
            </w:r>
          </w:p>
        </w:tc>
      </w:tr>
      <w:tr>
        <w:tc>
          <w:tcPr>
            <w:tcW w:type="dxa" w:w="9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R3</w:t>
            </w:r>
          </w:p>
        </w:tc>
        <w:tc>
          <w:tcPr>
            <w:tcW w:type="dxa" w:w="61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Pérdida o inconsistencia de datos durante la migración desde el sistema heredado.</w:t>
            </w:r>
          </w:p>
        </w:tc>
        <w:tc>
          <w:tcPr>
            <w:tcW w:type="dxa" w:w="2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Técnico / Datos</w:t>
            </w:r>
          </w:p>
        </w:tc>
      </w:tr>
      <w:tr>
        <w:tc>
          <w:tcPr>
            <w:tcW w:type="dxa" w:w="9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R4</w:t>
            </w:r>
          </w:p>
        </w:tc>
        <w:tc>
          <w:tcPr>
            <w:tcW w:type="dxa" w:w="61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Conectividad inestable en zonas rurales que afecte el uso de las apps en campo.</w:t>
            </w:r>
          </w:p>
        </w:tc>
        <w:tc>
          <w:tcPr>
            <w:tcW w:type="dxa" w:w="2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Operativo</w:t>
            </w:r>
          </w:p>
        </w:tc>
      </w:tr>
      <w:tr>
        <w:tc>
          <w:tcPr>
            <w:tcW w:type="dxa" w:w="9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R5</w:t>
            </w:r>
          </w:p>
        </w:tc>
        <w:tc>
          <w:tcPr>
            <w:tcW w:type="dxa" w:w="61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Retrasos en el desarrollo por la carga académica del equipo.</w:t>
            </w:r>
          </w:p>
        </w:tc>
        <w:tc>
          <w:tcPr>
            <w:tcW w:type="dxa" w:w="2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Proyecto</w:t>
            </w:r>
          </w:p>
        </w:tc>
      </w:tr>
      <w:tr>
        <w:tc>
          <w:tcPr>
            <w:tcW w:type="dxa" w:w="9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R6</w:t>
            </w:r>
          </w:p>
        </w:tc>
        <w:tc>
          <w:tcPr>
            <w:tcW w:type="dxa" w:w="61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Dependencia del VPS en la nube: caída del servicio afectaría la gestión central.</w:t>
            </w:r>
          </w:p>
        </w:tc>
        <w:tc>
          <w:tcPr>
            <w:tcW w:type="dxa" w:w="2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Infraestructura</w:t>
            </w:r>
          </w:p>
        </w:tc>
      </w:tr>
      <w:tr>
        <w:tc>
          <w:tcPr>
            <w:tcW w:type="dxa" w:w="9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R7</w:t>
            </w:r>
          </w:p>
        </w:tc>
        <w:tc>
          <w:tcPr>
            <w:tcW w:type="dxa" w:w="610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Brechas de seguridad / acceso no autorizado a los datos de clientes.</w:t>
            </w:r>
          </w:p>
        </w:tc>
        <w:tc>
          <w:tcPr>
            <w:tcW w:type="dxa" w:w="23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Seguridad</w:t>
            </w:r>
          </w:p>
        </w:tc>
      </w:tr>
    </w:tbl>
    <w:p>
      <w:pPr>
        <w:spacing w:after="80"/>
      </w:pPr>
      <w:r>
        <w:t xml:space="preserve"/>
      </w:r>
    </w:p>
    <w:p>
      <w:pPr>
        <w:pStyle w:val="Heading2"/>
        <w:spacing w:after="120" w:before="260"/>
      </w:pPr>
      <w:r>
        <w:rPr>
          <w:b/>
          <w:bCs/>
          <w:color w:val="2E5496"/>
          <w:sz w:val="26"/>
          <w:szCs w:val="26"/>
        </w:rPr>
        <w:t xml:space="preserve">Evaluación preliminar de impacto (matriz probabilidad × impacto)</w:t>
      </w:r>
    </w:p>
    <w:p>
      <w:pPr>
        <w:spacing w:after="120" w:line="276"/>
        <w:jc w:val="both"/>
      </w:pPr>
      <w:r>
        <w:rPr>
          <w:color w:val="222222"/>
          <w:sz w:val="22"/>
          <w:szCs w:val="22"/>
        </w:rPr>
        <w:t xml:space="preserve">Cada riesgo se valora en una escala de 1 (muy bajo) a 5 (muy alto) para probabilidad e impacto. La severidad es el producto de ambos: 1–6 Bajo, 8–12 Medio, 15–25 Alto.</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700"/>
        <w:gridCol w:w="1100"/>
        <w:gridCol w:w="1100"/>
        <w:gridCol w:w="1000"/>
        <w:gridCol w:w="1400"/>
        <w:gridCol w:w="4060"/>
      </w:tblGrid>
      <w:tr>
        <w:trPr>
          <w:tblHeader/>
        </w:trPr>
        <w:tc>
          <w:tcPr>
            <w:tcW w:type="dxa" w:w="7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ID</w:t>
            </w:r>
          </w:p>
        </w:tc>
        <w:tc>
          <w:tcPr>
            <w:tcW w:type="dxa" w:w="11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Prob.
(1-5)</w:t>
            </w:r>
          </w:p>
        </w:tc>
        <w:tc>
          <w:tcPr>
            <w:tcW w:type="dxa" w:w="11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Imp.
(1-5)</w:t>
            </w:r>
          </w:p>
        </w:tc>
        <w:tc>
          <w:tcPr>
            <w:tcW w:type="dxa" w:w="10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Sev.</w:t>
            </w:r>
          </w:p>
        </w:tc>
        <w:tc>
          <w:tcPr>
            <w:tcW w:type="dxa" w:w="140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Nivel</w:t>
            </w:r>
          </w:p>
        </w:tc>
        <w:tc>
          <w:tcPr>
            <w:tcW w:type="dxa" w:w="4060"/>
            <w:shd w:fill="1F3864" w:val="clear"/>
            <w:tcMar>
              <w:top w:type="dxa" w:w="60"/>
              <w:left w:type="dxa" w:w="100"/>
              <w:bottom w:type="dxa" w:w="60"/>
              <w:right w:type="dxa" w:w="100"/>
            </w:tcMar>
            <w:vAlign w:val="center"/>
          </w:tcPr>
          <w:p>
            <w:pPr>
              <w:spacing w:after="40" w:before="40"/>
              <w:jc w:val="center"/>
            </w:pPr>
            <w:r>
              <w:rPr>
                <w:b/>
                <w:bCs/>
                <w:color w:val="FFFFFF"/>
                <w:sz w:val="20"/>
                <w:szCs w:val="20"/>
              </w:rPr>
              <w:t xml:space="preserve">Estrategia de respuesta (mitigación)</w:t>
            </w:r>
          </w:p>
        </w:tc>
      </w:tr>
      <w:tr>
        <w:tc>
          <w:tcPr>
            <w:tcW w:type="dxa" w:w="7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R1</w:t>
            </w:r>
          </w:p>
        </w:tc>
        <w:tc>
          <w:tcPr>
            <w:tcW w:type="dxa" w:w="1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4</w:t>
            </w:r>
          </w:p>
        </w:tc>
        <w:tc>
          <w:tcPr>
            <w:tcW w:type="dxa" w:w="1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4</w:t>
            </w:r>
          </w:p>
        </w:tc>
        <w:tc>
          <w:tcPr>
            <w:tcW w:type="dxa" w:w="1000"/>
            <w:shd w:fill="FFFFFF" w:val="clear"/>
            <w:tcMar>
              <w:top w:type="dxa" w:w="60"/>
              <w:left w:type="dxa" w:w="100"/>
              <w:bottom w:type="dxa" w:w="60"/>
              <w:right w:type="dxa" w:w="100"/>
            </w:tcMar>
            <w:vAlign w:val="center"/>
          </w:tcPr>
          <w:p>
            <w:pPr>
              <w:spacing w:after="40" w:before="40"/>
              <w:jc w:val="center"/>
            </w:pPr>
            <w:r>
              <w:rPr>
                <w:b/>
                <w:bCs/>
                <w:color w:val="222222"/>
                <w:sz w:val="20"/>
                <w:szCs w:val="20"/>
              </w:rPr>
              <w:t xml:space="preserve">16</w:t>
            </w:r>
          </w:p>
        </w:tc>
        <w:tc>
          <w:tcPr>
            <w:tcW w:type="dxa" w:w="14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Alto</w:t>
            </w:r>
          </w:p>
        </w:tc>
        <w:tc>
          <w:tcPr>
            <w:tcW w:type="dxa" w:w="40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Capacitación práctica, interfaz simple tipo app conocida, acompañamiento inicial y apoyo del administrador.</w:t>
            </w:r>
          </w:p>
        </w:tc>
      </w:tr>
      <w:tr>
        <w:tc>
          <w:tcPr>
            <w:tcW w:type="dxa" w:w="7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R2</w:t>
            </w:r>
          </w:p>
        </w:tc>
        <w:tc>
          <w:tcPr>
            <w:tcW w:type="dxa" w:w="1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3</w:t>
            </w:r>
          </w:p>
        </w:tc>
        <w:tc>
          <w:tcPr>
            <w:tcW w:type="dxa" w:w="1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4</w:t>
            </w:r>
          </w:p>
        </w:tc>
        <w:tc>
          <w:tcPr>
            <w:tcW w:type="dxa" w:w="1000"/>
            <w:shd w:fill="FFFFFF" w:val="clear"/>
            <w:tcMar>
              <w:top w:type="dxa" w:w="60"/>
              <w:left w:type="dxa" w:w="100"/>
              <w:bottom w:type="dxa" w:w="60"/>
              <w:right w:type="dxa" w:w="100"/>
            </w:tcMar>
            <w:vAlign w:val="center"/>
          </w:tcPr>
          <w:p>
            <w:pPr>
              <w:spacing w:after="40" w:before="40"/>
              <w:jc w:val="center"/>
            </w:pPr>
            <w:r>
              <w:rPr>
                <w:b/>
                <w:bCs/>
                <w:color w:val="222222"/>
                <w:sz w:val="20"/>
                <w:szCs w:val="20"/>
              </w:rPr>
              <w:t xml:space="preserve">12</w:t>
            </w:r>
          </w:p>
        </w:tc>
        <w:tc>
          <w:tcPr>
            <w:tcW w:type="dxa" w:w="140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Medio</w:t>
            </w:r>
          </w:p>
        </w:tc>
        <w:tc>
          <w:tcPr>
            <w:tcW w:type="dxa" w:w="40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Pruebas de integración por zona antes del despliegue; los 13 MikroTik usan el mismo modelo y RouterOS 7 (homogéneo).</w:t>
            </w:r>
          </w:p>
        </w:tc>
      </w:tr>
      <w:tr>
        <w:tc>
          <w:tcPr>
            <w:tcW w:type="dxa" w:w="7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R3</w:t>
            </w:r>
          </w:p>
        </w:tc>
        <w:tc>
          <w:tcPr>
            <w:tcW w:type="dxa" w:w="1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3</w:t>
            </w:r>
          </w:p>
        </w:tc>
        <w:tc>
          <w:tcPr>
            <w:tcW w:type="dxa" w:w="1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5</w:t>
            </w:r>
          </w:p>
        </w:tc>
        <w:tc>
          <w:tcPr>
            <w:tcW w:type="dxa" w:w="1000"/>
            <w:shd w:fill="FFFFFF" w:val="clear"/>
            <w:tcMar>
              <w:top w:type="dxa" w:w="60"/>
              <w:left w:type="dxa" w:w="100"/>
              <w:bottom w:type="dxa" w:w="60"/>
              <w:right w:type="dxa" w:w="100"/>
            </w:tcMar>
            <w:vAlign w:val="center"/>
          </w:tcPr>
          <w:p>
            <w:pPr>
              <w:spacing w:after="40" w:before="40"/>
              <w:jc w:val="center"/>
            </w:pPr>
            <w:r>
              <w:rPr>
                <w:b/>
                <w:bCs/>
                <w:color w:val="222222"/>
                <w:sz w:val="20"/>
                <w:szCs w:val="20"/>
              </w:rPr>
              <w:t xml:space="preserve">15</w:t>
            </w:r>
          </w:p>
        </w:tc>
        <w:tc>
          <w:tcPr>
            <w:tcW w:type="dxa" w:w="14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Alto</w:t>
            </w:r>
          </w:p>
        </w:tc>
        <w:tc>
          <w:tcPr>
            <w:tcW w:type="dxa" w:w="40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Respaldo previo, migración por etapas, validación de datos y conservación del sistema heredado hasta confirmar consistencia.</w:t>
            </w:r>
          </w:p>
        </w:tc>
      </w:tr>
      <w:tr>
        <w:tc>
          <w:tcPr>
            <w:tcW w:type="dxa" w:w="7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R4</w:t>
            </w:r>
          </w:p>
        </w:tc>
        <w:tc>
          <w:tcPr>
            <w:tcW w:type="dxa" w:w="1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4</w:t>
            </w:r>
          </w:p>
        </w:tc>
        <w:tc>
          <w:tcPr>
            <w:tcW w:type="dxa" w:w="1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3</w:t>
            </w:r>
          </w:p>
        </w:tc>
        <w:tc>
          <w:tcPr>
            <w:tcW w:type="dxa" w:w="1000"/>
            <w:shd w:fill="FFFFFF" w:val="clear"/>
            <w:tcMar>
              <w:top w:type="dxa" w:w="60"/>
              <w:left w:type="dxa" w:w="100"/>
              <w:bottom w:type="dxa" w:w="60"/>
              <w:right w:type="dxa" w:w="100"/>
            </w:tcMar>
            <w:vAlign w:val="center"/>
          </w:tcPr>
          <w:p>
            <w:pPr>
              <w:spacing w:after="40" w:before="40"/>
              <w:jc w:val="center"/>
            </w:pPr>
            <w:r>
              <w:rPr>
                <w:b/>
                <w:bCs/>
                <w:color w:val="222222"/>
                <w:sz w:val="20"/>
                <w:szCs w:val="20"/>
              </w:rPr>
              <w:t xml:space="preserve">12</w:t>
            </w:r>
          </w:p>
        </w:tc>
        <w:tc>
          <w:tcPr>
            <w:tcW w:type="dxa" w:w="140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Medio</w:t>
            </w:r>
          </w:p>
        </w:tc>
        <w:tc>
          <w:tcPr>
            <w:tcW w:type="dxa" w:w="40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Apps con modo offline / sincronización diferida para registrar en campo aun sin señal.</w:t>
            </w:r>
          </w:p>
        </w:tc>
      </w:tr>
      <w:tr>
        <w:tc>
          <w:tcPr>
            <w:tcW w:type="dxa" w:w="7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R5</w:t>
            </w:r>
          </w:p>
        </w:tc>
        <w:tc>
          <w:tcPr>
            <w:tcW w:type="dxa" w:w="1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4</w:t>
            </w:r>
          </w:p>
        </w:tc>
        <w:tc>
          <w:tcPr>
            <w:tcW w:type="dxa" w:w="1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3</w:t>
            </w:r>
          </w:p>
        </w:tc>
        <w:tc>
          <w:tcPr>
            <w:tcW w:type="dxa" w:w="1000"/>
            <w:shd w:fill="FFFFFF" w:val="clear"/>
            <w:tcMar>
              <w:top w:type="dxa" w:w="60"/>
              <w:left w:type="dxa" w:w="100"/>
              <w:bottom w:type="dxa" w:w="60"/>
              <w:right w:type="dxa" w:w="100"/>
            </w:tcMar>
            <w:vAlign w:val="center"/>
          </w:tcPr>
          <w:p>
            <w:pPr>
              <w:spacing w:after="40" w:before="40"/>
              <w:jc w:val="center"/>
            </w:pPr>
            <w:r>
              <w:rPr>
                <w:b/>
                <w:bCs/>
                <w:color w:val="222222"/>
                <w:sz w:val="20"/>
                <w:szCs w:val="20"/>
              </w:rPr>
              <w:t xml:space="preserve">12</w:t>
            </w:r>
          </w:p>
        </w:tc>
        <w:tc>
          <w:tcPr>
            <w:tcW w:type="dxa" w:w="140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Medio</w:t>
            </w:r>
          </w:p>
        </w:tc>
        <w:tc>
          <w:tcPr>
            <w:tcW w:type="dxa" w:w="40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Metodología ágil con entregables incrementales; priorización de módulos críticos; cronograma con holgura.</w:t>
            </w:r>
          </w:p>
        </w:tc>
      </w:tr>
      <w:tr>
        <w:tc>
          <w:tcPr>
            <w:tcW w:type="dxa" w:w="7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R6</w:t>
            </w:r>
          </w:p>
        </w:tc>
        <w:tc>
          <w:tcPr>
            <w:tcW w:type="dxa" w:w="1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2</w:t>
            </w:r>
          </w:p>
        </w:tc>
        <w:tc>
          <w:tcPr>
            <w:tcW w:type="dxa" w:w="1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4</w:t>
            </w:r>
          </w:p>
        </w:tc>
        <w:tc>
          <w:tcPr>
            <w:tcW w:type="dxa" w:w="1000"/>
            <w:shd w:fill="FFFFFF" w:val="clear"/>
            <w:tcMar>
              <w:top w:type="dxa" w:w="60"/>
              <w:left w:type="dxa" w:w="100"/>
              <w:bottom w:type="dxa" w:w="60"/>
              <w:right w:type="dxa" w:w="100"/>
            </w:tcMar>
            <w:vAlign w:val="center"/>
          </w:tcPr>
          <w:p>
            <w:pPr>
              <w:spacing w:after="40" w:before="40"/>
              <w:jc w:val="center"/>
            </w:pPr>
            <w:r>
              <w:rPr>
                <w:b/>
                <w:bCs/>
                <w:color w:val="222222"/>
                <w:sz w:val="20"/>
                <w:szCs w:val="20"/>
              </w:rPr>
              <w:t xml:space="preserve">8</w:t>
            </w:r>
          </w:p>
        </w:tc>
        <w:tc>
          <w:tcPr>
            <w:tcW w:type="dxa" w:w="1400"/>
            <w:shd w:fill="FFFFFF" w:val="clear"/>
            <w:tcMar>
              <w:top w:type="dxa" w:w="60"/>
              <w:left w:type="dxa" w:w="100"/>
              <w:bottom w:type="dxa" w:w="60"/>
              <w:right w:type="dxa" w:w="100"/>
            </w:tcMar>
            <w:vAlign w:val="center"/>
          </w:tcPr>
          <w:p>
            <w:pPr>
              <w:spacing w:after="40" w:before="40"/>
              <w:jc w:val="center"/>
            </w:pPr>
            <w:r>
              <w:rPr>
                <w:b/>
                <w:bCs/>
                <w:color w:val="C55A11"/>
                <w:sz w:val="20"/>
                <w:szCs w:val="20"/>
              </w:rPr>
              <w:t xml:space="preserve">Medio</w:t>
            </w:r>
          </w:p>
        </w:tc>
        <w:tc>
          <w:tcPr>
            <w:tcW w:type="dxa" w:w="40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Backups automáticos, proveedor cloud confiable y plan de recuperación; posibilidad de respaldo local.</w:t>
            </w:r>
          </w:p>
        </w:tc>
      </w:tr>
      <w:tr>
        <w:tc>
          <w:tcPr>
            <w:tcW w:type="dxa" w:w="700"/>
            <w:shd w:fill="FFFFFF" w:val="clear"/>
            <w:tcMar>
              <w:top w:type="dxa" w:w="60"/>
              <w:left w:type="dxa" w:w="100"/>
              <w:bottom w:type="dxa" w:w="60"/>
              <w:right w:type="dxa" w:w="100"/>
            </w:tcMar>
            <w:vAlign w:val="center"/>
          </w:tcPr>
          <w:p>
            <w:pPr>
              <w:spacing w:after="40" w:before="40"/>
              <w:jc w:val="center"/>
            </w:pPr>
            <w:r>
              <w:rPr>
                <w:b/>
                <w:bCs/>
                <w:color w:val="1F3864"/>
                <w:sz w:val="20"/>
                <w:szCs w:val="20"/>
              </w:rPr>
              <w:t xml:space="preserve">R7</w:t>
            </w:r>
          </w:p>
        </w:tc>
        <w:tc>
          <w:tcPr>
            <w:tcW w:type="dxa" w:w="1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3</w:t>
            </w:r>
          </w:p>
        </w:tc>
        <w:tc>
          <w:tcPr>
            <w:tcW w:type="dxa" w:w="1100"/>
            <w:shd w:fill="FFFFFF" w:val="clear"/>
            <w:tcMar>
              <w:top w:type="dxa" w:w="60"/>
              <w:left w:type="dxa" w:w="100"/>
              <w:bottom w:type="dxa" w:w="60"/>
              <w:right w:type="dxa" w:w="100"/>
            </w:tcMar>
            <w:vAlign w:val="center"/>
          </w:tcPr>
          <w:p>
            <w:pPr>
              <w:spacing w:after="40" w:before="40"/>
              <w:jc w:val="center"/>
            </w:pPr>
            <w:r>
              <w:rPr>
                <w:b w:val="false"/>
                <w:bCs w:val="false"/>
                <w:color w:val="222222"/>
                <w:sz w:val="20"/>
                <w:szCs w:val="20"/>
              </w:rPr>
              <w:t xml:space="preserve">5</w:t>
            </w:r>
          </w:p>
        </w:tc>
        <w:tc>
          <w:tcPr>
            <w:tcW w:type="dxa" w:w="1000"/>
            <w:shd w:fill="FFFFFF" w:val="clear"/>
            <w:tcMar>
              <w:top w:type="dxa" w:w="60"/>
              <w:left w:type="dxa" w:w="100"/>
              <w:bottom w:type="dxa" w:w="60"/>
              <w:right w:type="dxa" w:w="100"/>
            </w:tcMar>
            <w:vAlign w:val="center"/>
          </w:tcPr>
          <w:p>
            <w:pPr>
              <w:spacing w:after="40" w:before="40"/>
              <w:jc w:val="center"/>
            </w:pPr>
            <w:r>
              <w:rPr>
                <w:b/>
                <w:bCs/>
                <w:color w:val="222222"/>
                <w:sz w:val="20"/>
                <w:szCs w:val="20"/>
              </w:rPr>
              <w:t xml:space="preserve">15</w:t>
            </w:r>
          </w:p>
        </w:tc>
        <w:tc>
          <w:tcPr>
            <w:tcW w:type="dxa" w:w="1400"/>
            <w:shd w:fill="FFFFFF" w:val="clear"/>
            <w:tcMar>
              <w:top w:type="dxa" w:w="60"/>
              <w:left w:type="dxa" w:w="100"/>
              <w:bottom w:type="dxa" w:w="60"/>
              <w:right w:type="dxa" w:w="100"/>
            </w:tcMar>
            <w:vAlign w:val="center"/>
          </w:tcPr>
          <w:p>
            <w:pPr>
              <w:spacing w:after="40" w:before="40"/>
              <w:jc w:val="center"/>
            </w:pPr>
            <w:r>
              <w:rPr>
                <w:b/>
                <w:bCs/>
                <w:color w:val="9E1B32"/>
                <w:sz w:val="20"/>
                <w:szCs w:val="20"/>
              </w:rPr>
              <w:t xml:space="preserve">Alto</w:t>
            </w:r>
          </w:p>
        </w:tc>
        <w:tc>
          <w:tcPr>
            <w:tcW w:type="dxa" w:w="4060"/>
            <w:shd w:fill="FFFFFF" w:val="clear"/>
            <w:tcMar>
              <w:top w:type="dxa" w:w="60"/>
              <w:left w:type="dxa" w:w="100"/>
              <w:bottom w:type="dxa" w:w="60"/>
              <w:right w:type="dxa" w:w="100"/>
            </w:tcMar>
            <w:vAlign w:val="center"/>
          </w:tcPr>
          <w:p>
            <w:pPr>
              <w:spacing w:after="40" w:before="40"/>
              <w:jc w:val="left"/>
            </w:pPr>
            <w:r>
              <w:rPr>
                <w:b w:val="false"/>
                <w:bCs w:val="false"/>
                <w:color w:val="222222"/>
                <w:sz w:val="20"/>
                <w:szCs w:val="20"/>
              </w:rPr>
              <w:t xml:space="preserve">Autenticación por roles, cifrado, VPN WireGuard para acceso a MikroTik y buenas prácticas de seguridad.</w:t>
            </w:r>
          </w:p>
        </w:tc>
      </w:tr>
    </w:tbl>
    <w:p>
      <w:pPr>
        <w:spacing w:after="80"/>
      </w:pPr>
      <w:r>
        <w:t xml:space="preserve"/>
      </w:r>
    </w:p>
    <w:tbl>
      <w:tblPr>
        <w:tblW w:type="dxa" w:w="9360"/>
        <w:tblBorders>
          <w:top w:val="single" w:color="2E5496" w:sz="2"/>
          <w:left w:val="single" w:color="2E5496" w:sz="24"/>
          <w:bottom w:val="single" w:color="2E5496" w:sz="2"/>
          <w:right w:val="single" w:color="2E5496" w:sz="2"/>
          <w:insideH w:val="single" w:color="auto" w:sz="4"/>
          <w:insideV w:val="single" w:color="auto" w:sz="4"/>
        </w:tblBorders>
      </w:tblPr>
      <w:tblGrid>
        <w:gridCol w:w="9360"/>
      </w:tblGrid>
      <w:tr>
        <w:tc>
          <w:tcPr>
            <w:tcW w:type="dxa" w:w="9360"/>
            <w:shd w:fill="D6E0F0" w:val="clear"/>
            <w:tcMar>
              <w:top w:type="dxa" w:w="100"/>
              <w:left w:type="dxa" w:w="160"/>
              <w:bottom w:type="dxa" w:w="100"/>
              <w:right w:type="dxa" w:w="160"/>
            </w:tcMar>
          </w:tcPr>
          <w:p>
            <w:pPr>
              <w:spacing w:after="60"/>
            </w:pPr>
            <w:r>
              <w:rPr>
                <w:b/>
                <w:bCs/>
                <w:color w:val="2E5496"/>
                <w:sz w:val="22"/>
                <w:szCs w:val="22"/>
              </w:rPr>
              <w:t xml:space="preserve">Conclusión de la evaluación de riesgos</w:t>
            </w:r>
          </w:p>
          <w:p>
            <w:pPr>
              <w:jc w:val="both"/>
            </w:pPr>
            <w:r>
              <w:rPr>
                <w:color w:val="333333"/>
                <w:sz w:val="21"/>
                <w:szCs w:val="21"/>
              </w:rPr>
              <w:t xml:space="preserve">Los riesgos de mayor severidad son la baja adopción del personal (R1), la pérdida de datos en la migración (R3) y la seguridad de la información (R7). Todos cuentan con estrategias de mitigación viables dentro del alcance del proyecto. Ninguno constituye un impedimento crítico: el proyecto es ejecutable con un nivel de riesgo gestionable.</w:t>
            </w:r>
          </w:p>
        </w:tc>
      </w:tr>
    </w:tbl>
    <w:p>
      <w:pPr>
        <w:spacing w:after="80"/>
      </w:pPr>
      <w:r>
        <w:t xml:space="preserve"/>
      </w:r>
    </w:p>
    <w:p>
      <w:pPr>
        <w:pStyle w:val="Heading1"/>
        <w:spacing w:after="160" w:before="320"/>
      </w:pPr>
      <w:r>
        <w:rPr>
          <w:b/>
          <w:bCs/>
          <w:color w:val="1F3864"/>
          <w:sz w:val="32"/>
          <w:szCs w:val="32"/>
        </w:rPr>
        <w:t xml:space="preserve">Conclusión del Business Case</w:t>
      </w:r>
    </w:p>
    <w:p>
      <w:pPr>
        <w:spacing w:after="120" w:line="276"/>
        <w:jc w:val="both"/>
      </w:pPr>
      <w:r>
        <w:rPr>
          <w:color w:val="222222"/>
          <w:sz w:val="22"/>
          <w:szCs w:val="22"/>
        </w:rPr>
        <w:t xml:space="preserve">El análisis desarrollado demuestra que el proyecto es conveniente, viable y estratégicamente alineado con los objetivos de WISP:</w:t>
      </w:r>
    </w:p>
    <w:p>
      <w:pPr>
        <w:pStyle w:val="ListParagraph"/>
        <w:numPr>
          <w:ilvl w:val="0"/>
          <w:numId w:val="2"/>
        </w:numPr>
        <w:spacing w:after="60" w:line="264"/>
      </w:pPr>
      <w:r>
        <w:rPr>
          <w:b/>
          <w:bCs/>
          <w:sz w:val="22"/>
          <w:szCs w:val="22"/>
        </w:rPr>
        <w:t xml:space="preserve">Justificado: </w:t>
      </w:r>
      <w:r>
        <w:rPr>
          <w:sz w:val="22"/>
          <w:szCs w:val="22"/>
        </w:rPr>
        <w:t xml:space="preserve">resuelve un problema real y crítico (operación manual, sin trazabilidad y dependiente de una persona), con objetivos SMART verificables.</w:t>
      </w:r>
    </w:p>
    <w:p>
      <w:pPr>
        <w:pStyle w:val="ListParagraph"/>
        <w:numPr>
          <w:ilvl w:val="0"/>
          <w:numId w:val="2"/>
        </w:numPr>
        <w:spacing w:after="60" w:line="264"/>
      </w:pPr>
      <w:r>
        <w:rPr>
          <w:b/>
          <w:bCs/>
          <w:sz w:val="22"/>
          <w:szCs w:val="22"/>
        </w:rPr>
        <w:t xml:space="preserve">Óptimo: </w:t>
      </w:r>
      <w:r>
        <w:rPr>
          <w:sz w:val="22"/>
          <w:szCs w:val="22"/>
        </w:rPr>
        <w:t xml:space="preserve">el análisis multicriterio selecciona el desarrollo propio (4.73/5.00) como la mejor alternativa frente a mantener lo actual, comprar software comercial o contratar desarrollo externo.</w:t>
      </w:r>
    </w:p>
    <w:p>
      <w:pPr>
        <w:pStyle w:val="ListParagraph"/>
        <w:numPr>
          <w:ilvl w:val="0"/>
          <w:numId w:val="2"/>
        </w:numPr>
        <w:spacing w:after="60" w:line="264"/>
      </w:pPr>
      <w:r>
        <w:rPr>
          <w:b/>
          <w:bCs/>
          <w:sz w:val="22"/>
          <w:szCs w:val="22"/>
        </w:rPr>
        <w:t xml:space="preserve">Rentable: </w:t>
      </w:r>
      <w:r>
        <w:rPr>
          <w:sz w:val="22"/>
          <w:szCs w:val="22"/>
        </w:rPr>
        <w:t xml:space="preserve">con VAN positivo y TIR muy superior al costo de capital en ambos escenarios, y un Payback de entre 0.6 y 15 meses.</w:t>
      </w:r>
    </w:p>
    <w:p>
      <w:pPr>
        <w:pStyle w:val="ListParagraph"/>
        <w:numPr>
          <w:ilvl w:val="0"/>
          <w:numId w:val="2"/>
        </w:numPr>
        <w:spacing w:after="60" w:line="264"/>
      </w:pPr>
      <w:r>
        <w:rPr>
          <w:b/>
          <w:bCs/>
          <w:sz w:val="22"/>
          <w:szCs w:val="22"/>
        </w:rPr>
        <w:t xml:space="preserve">Gestionable: </w:t>
      </w:r>
      <w:r>
        <w:rPr>
          <w:sz w:val="22"/>
          <w:szCs w:val="22"/>
        </w:rPr>
        <w:t xml:space="preserve">los riesgos identificados tienen respuestas de mitigación viables y ninguno es un impedimento crítico.</w:t>
      </w:r>
    </w:p>
    <w:p>
      <w:pPr>
        <w:spacing w:after="80"/>
      </w:pPr>
      <w:r>
        <w:t xml:space="preserve"/>
      </w:r>
    </w:p>
    <w:tbl>
      <w:tblPr>
        <w:tblW w:type="dxa" w:w="9360"/>
        <w:tblBorders>
          <w:top w:val="single" w:color="548235" w:sz="2"/>
          <w:left w:val="single" w:color="548235" w:sz="24"/>
          <w:bottom w:val="single" w:color="548235" w:sz="2"/>
          <w:right w:val="single" w:color="548235" w:sz="2"/>
          <w:insideH w:val="single" w:color="auto" w:sz="4"/>
          <w:insideV w:val="single" w:color="auto" w:sz="4"/>
        </w:tblBorders>
      </w:tblPr>
      <w:tblGrid>
        <w:gridCol w:w="9360"/>
      </w:tblGrid>
      <w:tr>
        <w:tc>
          <w:tcPr>
            <w:tcW w:type="dxa" w:w="9360"/>
            <w:shd w:fill="E2EFDA" w:val="clear"/>
            <w:tcMar>
              <w:top w:type="dxa" w:w="100"/>
              <w:left w:type="dxa" w:w="160"/>
              <w:bottom w:type="dxa" w:w="100"/>
              <w:right w:type="dxa" w:w="160"/>
            </w:tcMar>
          </w:tcPr>
          <w:p>
            <w:pPr>
              <w:spacing w:after="60"/>
            </w:pPr>
            <w:r>
              <w:rPr>
                <w:b/>
                <w:bCs/>
                <w:color w:val="548235"/>
                <w:sz w:val="22"/>
                <w:szCs w:val="22"/>
              </w:rPr>
              <w:t xml:space="preserve">Recomendación final</w:t>
            </w:r>
          </w:p>
          <w:p>
            <w:pPr>
              <w:jc w:val="both"/>
            </w:pPr>
            <w:r>
              <w:rPr>
                <w:color w:val="333333"/>
                <w:sz w:val="21"/>
                <w:szCs w:val="21"/>
              </w:rPr>
              <w:t xml:space="preserve">Se recomienda aprobar y ejecutar el proyecto. La inversión requerida por WISP es mínima frente a los beneficios operativos, estratégicos y económicos esperados, y la iniciativa habilita directamente la escalabilidad y competitividad de la empresa en su mercado. Este Business Case constituye la base para el Plan de Gestión del Proyecto (Entregable 2).</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pBdr>
      <w:jc w:val="center"/>
    </w:pPr>
    <w:r>
      <w:rPr>
        <w:color w:val="44546A"/>
        <w:sz w:val="16"/>
        <w:szCs w:val="16"/>
      </w:rPr>
      <w:t xml:space="preserve">Escuela Profesional de Ingeniería de Sistemas — UPeU    |    Página </w:t>
    </w:r>
    <w:r>
      <w:rPr>
        <w:color w:val="44546A"/>
        <w:sz w:val="16"/>
        <w:szCs w:val="16"/>
      </w:rPr>
      <w:fldChar w:fldCharType="begin"/>
      <w:instrText xml:space="preserve">PAGE</w:instrText>
      <w:fldChar w:fldCharType="separate"/>
      <w:fldChar w:fldCharType="end"/>
    </w:r>
    <w:r>
      <w:rPr>
        <w:color w:val="44546A"/>
        <w:sz w:val="16"/>
        <w:szCs w:val="16"/>
      </w:rPr>
      <w:t xml:space="preserve"> de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jc w:val="right"/>
    </w:pPr>
    <w:r>
      <w:rPr>
        <w:color w:val="44546A"/>
        <w:sz w:val="16"/>
        <w:szCs w:val="16"/>
      </w:rPr>
      <w:t xml:space="preserve">WISP · Entregable 1 GTI — Business Case (Caso de Negocio)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55A11"/>
      </w:r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 WISP</dc:title>
  <dc:creator>WISP - Proyecto Fin de Carrera</dc:creator>
  <cp:lastModifiedBy>Un-named</cp:lastModifiedBy>
  <cp:revision>1</cp:revision>
  <dcterms:created xsi:type="dcterms:W3CDTF">2026-07-05T22:24:42.581Z</dcterms:created>
  <dcterms:modified xsi:type="dcterms:W3CDTF">2026-07-05T22:24:42.581Z</dcterms:modified>
</cp:coreProperties>
</file>

<file path=docProps/custom.xml><?xml version="1.0" encoding="utf-8"?>
<Properties xmlns="http://schemas.openxmlformats.org/officeDocument/2006/custom-properties" xmlns:vt="http://schemas.openxmlformats.org/officeDocument/2006/docPropsVTypes"/>
</file>