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AA05" w14:textId="77777777" w:rsidR="00CD4BC0" w:rsidRDefault="00000000">
      <w:pPr>
        <w:spacing w:before="1200"/>
        <w:jc w:val="center"/>
      </w:pPr>
      <w:r>
        <w:rPr>
          <w:b/>
          <w:bCs/>
          <w:color w:val="1F3864"/>
          <w:sz w:val="28"/>
          <w:szCs w:val="28"/>
        </w:rPr>
        <w:t>UNIVERSIDAD PERUANA UNIÓN</w:t>
      </w:r>
    </w:p>
    <w:p w14:paraId="055E69BF" w14:textId="77777777" w:rsidR="00CD4BC0" w:rsidRDefault="00000000">
      <w:pPr>
        <w:spacing w:after="40"/>
        <w:jc w:val="center"/>
      </w:pPr>
      <w:r>
        <w:rPr>
          <w:color w:val="44546A"/>
          <w:sz w:val="24"/>
          <w:szCs w:val="24"/>
        </w:rPr>
        <w:t>Escuela Profesional de Ingeniería de Sistemas</w:t>
      </w:r>
    </w:p>
    <w:p w14:paraId="120B7578" w14:textId="77777777" w:rsidR="00CD4BC0" w:rsidRDefault="00000000">
      <w:pPr>
        <w:spacing w:after="600"/>
        <w:jc w:val="center"/>
      </w:pPr>
      <w:r>
        <w:rPr>
          <w:i/>
          <w:iCs/>
          <w:color w:val="666666"/>
        </w:rPr>
        <w:t>Proyecto de Evaluación de Fin de Carrera</w:t>
      </w:r>
    </w:p>
    <w:p w14:paraId="5CA62F18" w14:textId="77777777" w:rsidR="00CD4BC0" w:rsidRDefault="00CD4BC0">
      <w:pPr>
        <w:pBdr>
          <w:top w:val="single" w:sz="6" w:space="0" w:color="C55A11"/>
        </w:pBdr>
        <w:spacing w:before="400"/>
        <w:jc w:val="center"/>
      </w:pPr>
    </w:p>
    <w:p w14:paraId="6E6995E4" w14:textId="77777777" w:rsidR="00CD4BC0" w:rsidRDefault="00000000">
      <w:pPr>
        <w:spacing w:before="300" w:after="120"/>
        <w:jc w:val="center"/>
      </w:pPr>
      <w:r>
        <w:rPr>
          <w:b/>
          <w:bCs/>
          <w:color w:val="C55A11"/>
        </w:rPr>
        <w:t>LÍNEA: INFRAESTRUCTURA TECNOLÓGICA</w:t>
      </w:r>
    </w:p>
    <w:p w14:paraId="63A8346D" w14:textId="77777777" w:rsidR="00CD4BC0" w:rsidRDefault="00000000">
      <w:pPr>
        <w:spacing w:after="120"/>
        <w:jc w:val="center"/>
      </w:pPr>
      <w:r>
        <w:rPr>
          <w:b/>
          <w:bCs/>
          <w:color w:val="44546A"/>
        </w:rPr>
        <w:t>SEMESTRE 1 · ENTREGABLE 3</w:t>
      </w:r>
    </w:p>
    <w:p w14:paraId="46F02951" w14:textId="77777777" w:rsidR="00CD4BC0" w:rsidRDefault="00000000">
      <w:pPr>
        <w:spacing w:after="40"/>
        <w:jc w:val="center"/>
      </w:pPr>
      <w:r>
        <w:rPr>
          <w:b/>
          <w:bCs/>
          <w:color w:val="1F3864"/>
          <w:sz w:val="38"/>
          <w:szCs w:val="38"/>
        </w:rPr>
        <w:t>DISEÑO DE</w:t>
      </w:r>
    </w:p>
    <w:p w14:paraId="066DDB9A" w14:textId="77777777" w:rsidR="00CD4BC0" w:rsidRDefault="00000000">
      <w:pPr>
        <w:spacing w:after="120"/>
        <w:jc w:val="center"/>
      </w:pPr>
      <w:r>
        <w:rPr>
          <w:b/>
          <w:bCs/>
          <w:color w:val="1F3864"/>
          <w:sz w:val="38"/>
          <w:szCs w:val="38"/>
        </w:rPr>
        <w:t>CENTRO DE DATOS</w:t>
      </w:r>
    </w:p>
    <w:p w14:paraId="3F8E47E3" w14:textId="77777777" w:rsidR="00CD4BC0" w:rsidRDefault="00000000">
      <w:pPr>
        <w:pBdr>
          <w:bottom w:val="single" w:sz="6" w:space="0" w:color="C55A11"/>
        </w:pBdr>
        <w:spacing w:after="400"/>
        <w:jc w:val="center"/>
      </w:pPr>
      <w:r>
        <w:rPr>
          <w:b/>
          <w:bCs/>
          <w:color w:val="2E5496"/>
          <w:sz w:val="24"/>
          <w:szCs w:val="24"/>
        </w:rPr>
        <w:t>Competencia C3.1 — Centro de Datos</w:t>
      </w:r>
    </w:p>
    <w:p w14:paraId="506897FF" w14:textId="77777777" w:rsidR="00CD4BC0" w:rsidRDefault="00000000">
      <w:pPr>
        <w:spacing w:before="500" w:after="80"/>
        <w:jc w:val="center"/>
      </w:pPr>
      <w:r>
        <w:rPr>
          <w:color w:val="555555"/>
        </w:rPr>
        <w:t>Empresa caso de estudio:</w:t>
      </w:r>
    </w:p>
    <w:p w14:paraId="579BE4E2" w14:textId="77777777" w:rsidR="00CD4BC0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WISP Ingeniería en Redes y Telecomunicaciones</w:t>
      </w:r>
    </w:p>
    <w:p w14:paraId="12A88460" w14:textId="77777777" w:rsidR="00CD4BC0" w:rsidRDefault="00000000">
      <w:pPr>
        <w:spacing w:after="600"/>
        <w:jc w:val="center"/>
      </w:pPr>
      <w:r>
        <w:rPr>
          <w:color w:val="555555"/>
        </w:rPr>
        <w:t>Región Puno – Perú</w:t>
      </w:r>
    </w:p>
    <w:p w14:paraId="65EB1B48" w14:textId="77777777" w:rsidR="00CD4BC0" w:rsidRDefault="00000000">
      <w:pPr>
        <w:spacing w:before="400" w:after="40"/>
        <w:jc w:val="center"/>
      </w:pPr>
      <w:r>
        <w:rPr>
          <w:i/>
          <w:iCs/>
          <w:color w:val="666666"/>
          <w:sz w:val="19"/>
          <w:szCs w:val="19"/>
        </w:rPr>
        <w:t>Arquitectura híbrida: Cloud (VPS) + On-premise + 13 nodos de borde</w:t>
      </w:r>
    </w:p>
    <w:p w14:paraId="07829325" w14:textId="77777777" w:rsidR="00CD4BC0" w:rsidRDefault="00000000">
      <w:r>
        <w:br w:type="page"/>
      </w:r>
    </w:p>
    <w:p w14:paraId="37539AD4" w14:textId="77777777" w:rsidR="00CD4BC0" w:rsidRDefault="00000000">
      <w:pPr>
        <w:pStyle w:val="Ttulo1"/>
        <w:spacing w:before="320" w:after="160"/>
      </w:pPr>
      <w:bookmarkStart w:id="0" w:name="_Toc234269189"/>
      <w:r>
        <w:rPr>
          <w:b/>
          <w:bCs/>
          <w:color w:val="1F3864"/>
        </w:rPr>
        <w:lastRenderedPageBreak/>
        <w:t>Contenido</w:t>
      </w:r>
      <w:bookmarkEnd w:id="0"/>
    </w:p>
    <w:sdt>
      <w:sdtPr>
        <w:alias w:val="Tabla de Contenido"/>
        <w:id w:val="-1855643812"/>
      </w:sdtPr>
      <w:sdtContent>
        <w:p w14:paraId="1D678D30" w14:textId="77777777" w:rsidR="00934BA3" w:rsidRDefault="00000000">
          <w:pPr>
            <w:pStyle w:val="TD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269189" w:history="1">
            <w:r w:rsidR="00934BA3" w:rsidRPr="000245CE">
              <w:rPr>
                <w:rStyle w:val="Hipervnculo"/>
                <w:b/>
                <w:bCs/>
                <w:noProof/>
              </w:rPr>
              <w:t>Contenido</w:t>
            </w:r>
            <w:r w:rsidR="00934BA3">
              <w:rPr>
                <w:noProof/>
              </w:rPr>
              <w:tab/>
            </w:r>
            <w:r w:rsidR="00934BA3">
              <w:rPr>
                <w:noProof/>
              </w:rPr>
              <w:fldChar w:fldCharType="begin"/>
            </w:r>
            <w:r w:rsidR="00934BA3">
              <w:rPr>
                <w:noProof/>
              </w:rPr>
              <w:instrText xml:space="preserve"> PAGEREF _Toc234269189 \h </w:instrText>
            </w:r>
            <w:r w:rsidR="00934BA3">
              <w:rPr>
                <w:noProof/>
              </w:rPr>
            </w:r>
            <w:r w:rsidR="00934BA3">
              <w:rPr>
                <w:noProof/>
              </w:rPr>
              <w:fldChar w:fldCharType="separate"/>
            </w:r>
            <w:r w:rsidR="00934BA3">
              <w:rPr>
                <w:noProof/>
              </w:rPr>
              <w:t>1</w:t>
            </w:r>
            <w:r w:rsidR="00934BA3">
              <w:rPr>
                <w:noProof/>
              </w:rPr>
              <w:fldChar w:fldCharType="end"/>
            </w:r>
          </w:hyperlink>
        </w:p>
        <w:p w14:paraId="28A01992" w14:textId="77777777" w:rsidR="00934BA3" w:rsidRDefault="00934BA3">
          <w:pPr>
            <w:pStyle w:val="TDC1"/>
            <w:tabs>
              <w:tab w:val="right" w:leader="dot" w:pos="9496"/>
            </w:tabs>
            <w:rPr>
              <w:noProof/>
            </w:rPr>
          </w:pPr>
          <w:hyperlink w:anchor="_Toc234269190" w:history="1">
            <w:r w:rsidRPr="000245CE">
              <w:rPr>
                <w:rStyle w:val="Hipervnculo"/>
                <w:b/>
                <w:bCs/>
                <w:noProof/>
              </w:rPr>
              <w:t>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01B32F" w14:textId="77777777" w:rsidR="00934BA3" w:rsidRDefault="00934BA3">
          <w:pPr>
            <w:pStyle w:val="TDC1"/>
            <w:tabs>
              <w:tab w:val="right" w:leader="dot" w:pos="9496"/>
            </w:tabs>
            <w:rPr>
              <w:noProof/>
            </w:rPr>
          </w:pPr>
          <w:hyperlink w:anchor="_Toc234269191" w:history="1">
            <w:r w:rsidRPr="000245CE">
              <w:rPr>
                <w:rStyle w:val="Hipervnculo"/>
                <w:b/>
                <w:bCs/>
                <w:noProof/>
              </w:rPr>
              <w:t>Sección 1: Definición de Arquitectura (Tier I–IV)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3CDF1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192" w:history="1">
            <w:r w:rsidRPr="000245CE">
              <w:rPr>
                <w:rStyle w:val="Hipervnculo"/>
                <w:b/>
                <w:bCs/>
                <w:noProof/>
              </w:rPr>
              <w:t>1.1 Niveles Tier y disponibilidad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40756A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193" w:history="1">
            <w:r w:rsidRPr="000245CE">
              <w:rPr>
                <w:rStyle w:val="Hipervnculo"/>
                <w:b/>
                <w:bCs/>
                <w:noProof/>
              </w:rPr>
              <w:t>1.2 Tier objetivo para WISP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51555" w14:textId="77777777" w:rsidR="00934BA3" w:rsidRDefault="00934BA3">
          <w:pPr>
            <w:pStyle w:val="TDC1"/>
            <w:tabs>
              <w:tab w:val="right" w:leader="dot" w:pos="9496"/>
            </w:tabs>
            <w:rPr>
              <w:noProof/>
            </w:rPr>
          </w:pPr>
          <w:hyperlink w:anchor="_Toc234269194" w:history="1">
            <w:r w:rsidRPr="000245CE">
              <w:rPr>
                <w:rStyle w:val="Hipervnculo"/>
                <w:b/>
                <w:bCs/>
                <w:noProof/>
              </w:rPr>
              <w:t>Sección 2: Diseño de Layout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05610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195" w:history="1">
            <w:r w:rsidRPr="000245CE">
              <w:rPr>
                <w:rStyle w:val="Hipervnculo"/>
                <w:b/>
                <w:bCs/>
                <w:noProof/>
              </w:rPr>
              <w:t>2.1 Layout del site principal (rack propuesto)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A28B23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196" w:history="1">
            <w:r w:rsidRPr="000245CE">
              <w:rPr>
                <w:rStyle w:val="Hipervnculo"/>
                <w:b/>
                <w:bCs/>
                <w:noProof/>
              </w:rPr>
              <w:t>2.2 Layout de un nodo de borde (gabinete de zona)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C0AA11" w14:textId="77777777" w:rsidR="00934BA3" w:rsidRDefault="00934BA3">
          <w:pPr>
            <w:pStyle w:val="TDC1"/>
            <w:tabs>
              <w:tab w:val="right" w:leader="dot" w:pos="9496"/>
            </w:tabs>
            <w:rPr>
              <w:noProof/>
            </w:rPr>
          </w:pPr>
          <w:hyperlink w:anchor="_Toc234269197" w:history="1">
            <w:r w:rsidRPr="000245CE">
              <w:rPr>
                <w:rStyle w:val="Hipervnculo"/>
                <w:b/>
                <w:bCs/>
                <w:noProof/>
              </w:rPr>
              <w:t>Sección 3: Dimensionamiento de Capacidad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8F450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198" w:history="1">
            <w:r w:rsidRPr="000245CE">
              <w:rPr>
                <w:rStyle w:val="Hipervnculo"/>
                <w:b/>
                <w:bCs/>
                <w:noProof/>
              </w:rPr>
              <w:t>3.1 Dimensionamiento de cómputo (CPU y 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D18C5C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199" w:history="1">
            <w:r w:rsidRPr="000245CE">
              <w:rPr>
                <w:rStyle w:val="Hipervnculo"/>
                <w:b/>
                <w:bCs/>
                <w:noProof/>
              </w:rPr>
              <w:t>3.2 Dimensionamiento de almacenamiento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028375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200" w:history="1">
            <w:r w:rsidRPr="000245CE">
              <w:rPr>
                <w:rStyle w:val="Hipervnculo"/>
                <w:b/>
                <w:bCs/>
                <w:noProof/>
              </w:rPr>
              <w:t>3.3 Dimensionamiento de energía (site principal)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9F7C5" w14:textId="77777777" w:rsidR="00934BA3" w:rsidRDefault="00934BA3">
          <w:pPr>
            <w:pStyle w:val="TDC1"/>
            <w:tabs>
              <w:tab w:val="right" w:leader="dot" w:pos="9496"/>
            </w:tabs>
            <w:rPr>
              <w:noProof/>
            </w:rPr>
          </w:pPr>
          <w:hyperlink w:anchor="_Toc234269201" w:history="1">
            <w:r w:rsidRPr="000245CE">
              <w:rPr>
                <w:rStyle w:val="Hipervnculo"/>
                <w:b/>
                <w:bCs/>
                <w:noProof/>
              </w:rPr>
              <w:t>Sección 4: Virtualización y Cloud Híbrido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23195C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202" w:history="1">
            <w:r w:rsidRPr="000245CE">
              <w:rPr>
                <w:rStyle w:val="Hipervnculo"/>
                <w:b/>
                <w:bCs/>
                <w:noProof/>
              </w:rPr>
              <w:t>4.1 Esquema de arquitectura híbrida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909B43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203" w:history="1">
            <w:r w:rsidRPr="000245CE">
              <w:rPr>
                <w:rStyle w:val="Hipervnculo"/>
                <w:b/>
                <w:bCs/>
                <w:noProof/>
              </w:rPr>
              <w:t>4.2 Estrategia de virtualización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A14610" w14:textId="77777777" w:rsidR="00934BA3" w:rsidRDefault="00934BA3">
          <w:pPr>
            <w:pStyle w:val="TDC1"/>
            <w:tabs>
              <w:tab w:val="right" w:leader="dot" w:pos="9496"/>
            </w:tabs>
            <w:rPr>
              <w:noProof/>
            </w:rPr>
          </w:pPr>
          <w:hyperlink w:anchor="_Toc234269204" w:history="1">
            <w:r w:rsidRPr="000245CE">
              <w:rPr>
                <w:rStyle w:val="Hipervnculo"/>
                <w:b/>
                <w:bCs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099CCA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205" w:history="1">
            <w:r w:rsidRPr="000245CE">
              <w:rPr>
                <w:rStyle w:val="Hipervnculo"/>
                <w:b/>
                <w:bCs/>
                <w:noProof/>
              </w:rPr>
              <w:t>Anexo A: Cálculos detallados de dimensionamiento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0EE70" w14:textId="77777777" w:rsidR="00934BA3" w:rsidRDefault="00934BA3">
          <w:pPr>
            <w:pStyle w:val="TDC2"/>
            <w:tabs>
              <w:tab w:val="right" w:leader="dot" w:pos="9496"/>
            </w:tabs>
            <w:rPr>
              <w:noProof/>
            </w:rPr>
          </w:pPr>
          <w:hyperlink w:anchor="_Toc234269206" w:history="1">
            <w:r w:rsidRPr="000245CE">
              <w:rPr>
                <w:rStyle w:val="Hipervnculo"/>
                <w:b/>
                <w:bCs/>
                <w:noProof/>
              </w:rPr>
              <w:t>Anexo B: Referencias y su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81EAB" w14:textId="77777777" w:rsidR="00934BA3" w:rsidRDefault="00934BA3">
          <w:pPr>
            <w:pStyle w:val="TDC3"/>
            <w:tabs>
              <w:tab w:val="right" w:leader="dot" w:pos="9496"/>
            </w:tabs>
            <w:rPr>
              <w:noProof/>
            </w:rPr>
          </w:pPr>
          <w:hyperlink w:anchor="_Toc234269207" w:history="1">
            <w:r w:rsidRPr="000245CE">
              <w:rPr>
                <w:rStyle w:val="Hipervnculo"/>
                <w:b/>
                <w:bCs/>
                <w:noProof/>
              </w:rPr>
              <w:t>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9D7A1D" w14:textId="77777777" w:rsidR="00934BA3" w:rsidRDefault="00934BA3">
          <w:pPr>
            <w:pStyle w:val="TDC1"/>
            <w:tabs>
              <w:tab w:val="right" w:leader="dot" w:pos="9496"/>
            </w:tabs>
            <w:rPr>
              <w:noProof/>
            </w:rPr>
          </w:pPr>
          <w:hyperlink w:anchor="_Toc234269208" w:history="1">
            <w:r w:rsidRPr="000245CE">
              <w:rPr>
                <w:rStyle w:val="Hipervnculo"/>
                <w:b/>
                <w:bCs/>
                <w:noProof/>
              </w:rPr>
              <w:t>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6264E7" w14:textId="77777777" w:rsidR="00CD4BC0" w:rsidRDefault="00000000">
          <w:r>
            <w:fldChar w:fldCharType="end"/>
          </w:r>
        </w:p>
      </w:sdtContent>
    </w:sdt>
    <w:p w14:paraId="01C5DEDE" w14:textId="77777777" w:rsidR="00CD4BC0" w:rsidRDefault="00000000">
      <w:r>
        <w:br w:type="page"/>
      </w:r>
    </w:p>
    <w:p w14:paraId="1F03A22C" w14:textId="77777777" w:rsidR="00CD4BC0" w:rsidRDefault="00000000">
      <w:pPr>
        <w:pStyle w:val="Ttulo1"/>
        <w:spacing w:before="320" w:after="160"/>
      </w:pPr>
      <w:bookmarkStart w:id="1" w:name="_Toc234269190"/>
      <w:r>
        <w:rPr>
          <w:b/>
          <w:bCs/>
          <w:color w:val="1F3864"/>
        </w:rPr>
        <w:lastRenderedPageBreak/>
        <w:t>Resumen Ejecutivo</w:t>
      </w:r>
      <w:bookmarkEnd w:id="1"/>
    </w:p>
    <w:p w14:paraId="69713C50" w14:textId="4BA87317" w:rsidR="00CD4BC0" w:rsidRDefault="00000000">
      <w:pPr>
        <w:spacing w:after="120" w:line="276" w:lineRule="auto"/>
        <w:jc w:val="both"/>
      </w:pPr>
      <w:r>
        <w:rPr>
          <w:color w:val="222222"/>
        </w:rPr>
        <w:t>Define la arquitectura, el layout físico, el dimensionamiento de capacidad y el modelo de virtualización/cloud híbrido del centro de datos que soporta la operación de la empresa.</w:t>
      </w:r>
    </w:p>
    <w:p w14:paraId="3823C119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A diferencia de una organización con una sala de servidores tradicional, WISP opera con un modelo de centro de datos distribuido e híbrido: el núcleo lógico reside en la nube (VPS), donde se ejecutan los servicios centrales (backend, base de datos, VPN, notificaciones); se propone un site principal on-premise (un rack en la oficina central) para respaldo y gestión local; y existen 13 nodos de borde (uno por zona), cada uno con su MikroTik, OLT y energía de respaldo. Este diseño se evalúa bajo la clasificación Tier del Uptime Institute y se dimensiona con cálculos reales de CPU, RAM, almacenamiento y energía.</w:t>
      </w:r>
    </w:p>
    <w:p w14:paraId="4EB3B579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El diseño busca un nivel de disponibilidad equivalente a Tier II-III de forma pragmática y costo-eficiente para una MYPE, apoyándose en el SLA del proveedor de nube para el núcleo y en redundancia de energía y respaldos para los nodos. El dimensionamiento resultante (8 vCPU, 16-32 GB RAM, 256 GB SSD para el núcleo) cubre la operación actual de ~455 clientes con margen para crecer al doble en tres años.</w:t>
      </w:r>
    </w:p>
    <w:p w14:paraId="5F45B12E" w14:textId="77777777" w:rsidR="00CD4BC0" w:rsidRDefault="00000000">
      <w:r>
        <w:br w:type="page"/>
      </w:r>
    </w:p>
    <w:p w14:paraId="0FAB23D4" w14:textId="77777777" w:rsidR="00CD4BC0" w:rsidRDefault="00000000">
      <w:pPr>
        <w:pStyle w:val="Ttulo1"/>
        <w:spacing w:before="320" w:after="160"/>
      </w:pPr>
      <w:bookmarkStart w:id="2" w:name="_Toc234269191"/>
      <w:r>
        <w:rPr>
          <w:b/>
          <w:bCs/>
          <w:color w:val="1F3864"/>
        </w:rPr>
        <w:lastRenderedPageBreak/>
        <w:t>Sección 1: Definición de Arquitectura (Tier I–IV)</w:t>
      </w:r>
      <w:bookmarkEnd w:id="2"/>
    </w:p>
    <w:tbl>
      <w:tblPr>
        <w:tblW w:w="9360" w:type="dxa"/>
        <w:tblBorders>
          <w:top w:val="single" w:sz="2" w:space="0" w:color="44546A"/>
          <w:left w:val="single" w:sz="2" w:space="0" w:color="44546A"/>
          <w:bottom w:val="single" w:sz="2" w:space="0" w:color="44546A"/>
          <w:right w:val="single" w:sz="2" w:space="0" w:color="44546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BC0" w14:paraId="5AF8B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8A47FE" w14:textId="77777777" w:rsidR="00CD4BC0" w:rsidRDefault="00000000"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(Uptime Institute): </w:t>
            </w:r>
            <w:r>
              <w:rPr>
                <w:i/>
                <w:iCs/>
                <w:color w:val="444444"/>
                <w:sz w:val="19"/>
                <w:szCs w:val="19"/>
              </w:rPr>
              <w:t>El Uptime Institute define cuatro niveles (Tier I a IV) que clasifican la disponibilidad de un centro de datos según su redundancia. Tier I (básico, 99.671%), Tier II (componentes redundantes, 99.741%), Tier III (mantenimiento concurrente, 99.982%) y Tier IV (tolerante a fallos, 99.995%). A mayor Tier, mayor disponibilidad y costo.</w:t>
            </w:r>
          </w:p>
        </w:tc>
      </w:tr>
    </w:tbl>
    <w:p w14:paraId="13571F0E" w14:textId="77777777" w:rsidR="00CD4BC0" w:rsidRDefault="00CD4BC0">
      <w:pPr>
        <w:spacing w:after="80"/>
      </w:pPr>
    </w:p>
    <w:p w14:paraId="104F0B5E" w14:textId="77777777" w:rsidR="00CD4BC0" w:rsidRDefault="00000000">
      <w:pPr>
        <w:pStyle w:val="Ttulo2"/>
        <w:spacing w:before="260" w:after="120"/>
      </w:pPr>
      <w:bookmarkStart w:id="3" w:name="_Toc234269192"/>
      <w:r>
        <w:rPr>
          <w:b/>
          <w:bCs/>
          <w:color w:val="2E5496"/>
        </w:rPr>
        <w:t>1.1 Niveles Tier y disponibilidad</w:t>
      </w:r>
      <w:bookmarkEnd w:id="3"/>
    </w:p>
    <w:p w14:paraId="4373E03A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La siguiente tabla resume los cuatro niveles del Uptime Institute y su tiempo de inactividad anual permitido:</w:t>
      </w:r>
    </w:p>
    <w:tbl>
      <w:tblPr>
        <w:tblW w:w="9360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60"/>
        <w:gridCol w:w="2000"/>
        <w:gridCol w:w="2000"/>
      </w:tblGrid>
      <w:tr w:rsidR="00CD4BC0" w14:paraId="69768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DEB0F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9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F7E0F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20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3D69A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Disponibilidad</w:t>
            </w:r>
          </w:p>
        </w:tc>
        <w:tc>
          <w:tcPr>
            <w:tcW w:w="20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C7A8E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Downtime/año</w:t>
            </w:r>
          </w:p>
        </w:tc>
      </w:tr>
      <w:tr w:rsidR="00CD4BC0" w14:paraId="2D3171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C1087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Tier I</w:t>
            </w:r>
          </w:p>
        </w:tc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2C94E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Infraestructura básica, sin redundancia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1B35F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99.671%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AFB8F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~28.8 h</w:t>
            </w:r>
          </w:p>
        </w:tc>
      </w:tr>
      <w:tr w:rsidR="00CD4BC0" w14:paraId="538580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37DD9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Tier II</w:t>
            </w:r>
          </w:p>
        </w:tc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FD2EA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Componentes redundantes (N+1 parcial)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B0FC2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99.741%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85A85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~22 h</w:t>
            </w:r>
          </w:p>
        </w:tc>
      </w:tr>
      <w:tr w:rsidR="00CD4BC0" w14:paraId="5DFB1D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AB778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Tier III</w:t>
            </w:r>
          </w:p>
        </w:tc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D5335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Mantenimiento concurrente (sin parar servicio)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DDF36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99.982%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8F4FB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~1.6 h</w:t>
            </w:r>
          </w:p>
        </w:tc>
      </w:tr>
      <w:tr w:rsidR="00CD4BC0" w14:paraId="26BC38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EC2FA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Tier IV</w:t>
            </w:r>
          </w:p>
        </w:tc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A9B4E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Tolerante a fallos (2N redundancia total)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4D8CD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99.995%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E05AB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~0.4 h</w:t>
            </w:r>
          </w:p>
        </w:tc>
      </w:tr>
    </w:tbl>
    <w:p w14:paraId="1DDA1078" w14:textId="77777777" w:rsidR="00CD4BC0" w:rsidRDefault="00CD4BC0">
      <w:pPr>
        <w:spacing w:after="80"/>
      </w:pPr>
    </w:p>
    <w:p w14:paraId="51B68297" w14:textId="77777777" w:rsidR="00CD4BC0" w:rsidRDefault="00000000">
      <w:pPr>
        <w:pStyle w:val="Ttulo2"/>
        <w:spacing w:before="260" w:after="120"/>
      </w:pPr>
      <w:bookmarkStart w:id="4" w:name="_Toc234269193"/>
      <w:r>
        <w:rPr>
          <w:b/>
          <w:bCs/>
          <w:color w:val="2E5496"/>
        </w:rPr>
        <w:t>1.2 Tier objetivo para WISP y justificación</w:t>
      </w:r>
      <w:bookmarkEnd w:id="4"/>
    </w:p>
    <w:p w14:paraId="61BCC121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Para una MYPE como WISP, un Tier IV (con redundancia 2N total) sería desproporcionado en costo. El diseño adopta un enfoque pragmático por componente:</w:t>
      </w:r>
    </w:p>
    <w:tbl>
      <w:tblPr>
        <w:tblW w:w="9360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60"/>
        <w:gridCol w:w="4600"/>
      </w:tblGrid>
      <w:tr w:rsidR="00CD4BC0" w14:paraId="43A31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A0CDF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1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C807C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objetivo</w:t>
            </w:r>
          </w:p>
        </w:tc>
        <w:tc>
          <w:tcPr>
            <w:tcW w:w="46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9D4BD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Cómo se logra</w:t>
            </w:r>
          </w:p>
        </w:tc>
      </w:tr>
      <w:tr w:rsidR="00CD4BC0" w14:paraId="4A4D9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D5843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Núcleo en la nube (VPS)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FE745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548235"/>
                <w:sz w:val="18"/>
                <w:szCs w:val="18"/>
              </w:rPr>
              <w:t>Tier III (equiv.)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80F3F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Se apoya en el SLA y la redundancia del proveedor cloud (energía, red, refrigeración N+1).</w:t>
            </w:r>
          </w:p>
        </w:tc>
      </w:tr>
      <w:tr w:rsidR="00CD4BC0" w14:paraId="0499FF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8D683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Site principal (on-premise)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A14DE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Tier II (equiv.)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F41BF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UPS, respaldos y componentes redundantes básicos.</w:t>
            </w:r>
          </w:p>
        </w:tc>
      </w:tr>
      <w:tr w:rsidR="00CD4BC0" w14:paraId="6393B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F67CD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Nodos de borde (zonas)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DE76E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Tier I-II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45D7F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UPS por nodo; aislamiento entre zonas (una falla no propaga).</w:t>
            </w:r>
          </w:p>
        </w:tc>
      </w:tr>
    </w:tbl>
    <w:p w14:paraId="351E3308" w14:textId="77777777" w:rsidR="00CD4BC0" w:rsidRDefault="00CD4BC0">
      <w:pPr>
        <w:spacing w:after="80"/>
      </w:pPr>
    </w:p>
    <w:tbl>
      <w:tblPr>
        <w:tblW w:w="9360" w:type="dxa"/>
        <w:tblBorders>
          <w:top w:val="single" w:sz="2" w:space="0" w:color="548235"/>
          <w:left w:val="single" w:sz="24" w:space="0" w:color="548235"/>
          <w:bottom w:val="single" w:sz="2" w:space="0" w:color="548235"/>
          <w:right w:val="single" w:sz="2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BC0" w14:paraId="5B92E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88522" w14:textId="77777777" w:rsidR="00CD4BC0" w:rsidRDefault="00000000">
            <w:pPr>
              <w:spacing w:after="60"/>
            </w:pPr>
            <w:r>
              <w:rPr>
                <w:b/>
                <w:bCs/>
                <w:color w:val="548235"/>
              </w:rPr>
              <w:t>Justificación del Tier híbrido (sugerencia de valor)</w:t>
            </w:r>
          </w:p>
          <w:p w14:paraId="10385148" w14:textId="77777777" w:rsidR="00CD4BC0" w:rsidRDefault="00000000">
            <w:pPr>
              <w:jc w:val="both"/>
            </w:pPr>
            <w:r>
              <w:rPr>
                <w:color w:val="333333"/>
                <w:sz w:val="21"/>
                <w:szCs w:val="21"/>
              </w:rPr>
              <w:t>En lugar de construir un data center Tier IV costoso, WISP aprovecha la disponibilidad Tier III que ya ofrece el proveedor de nube para su núcleo crítico, y refuerza los nodos de borde con energía de respaldo. Se sugiere formalizar un site principal on-premise (un rack en la oficina central) que actúe como respaldo del núcleo y punto de gestión: esto eleva la resiliencia global sin el costo de un data center completo, un balance óptimo entre disponibilidad y presupuesto para una MYPE.</w:t>
            </w:r>
          </w:p>
        </w:tc>
      </w:tr>
    </w:tbl>
    <w:p w14:paraId="2DE13ECB" w14:textId="77777777" w:rsidR="00CD4BC0" w:rsidRDefault="00000000">
      <w:r>
        <w:br w:type="page"/>
      </w:r>
    </w:p>
    <w:p w14:paraId="3532B9AE" w14:textId="77777777" w:rsidR="00CD4BC0" w:rsidRDefault="00000000">
      <w:pPr>
        <w:pStyle w:val="Ttulo1"/>
        <w:spacing w:before="320" w:after="160"/>
      </w:pPr>
      <w:bookmarkStart w:id="5" w:name="_Toc234269194"/>
      <w:r>
        <w:rPr>
          <w:b/>
          <w:bCs/>
          <w:color w:val="1F3864"/>
        </w:rPr>
        <w:lastRenderedPageBreak/>
        <w:t>Sección 2: Diseño de Layout Físico</w:t>
      </w:r>
      <w:bookmarkEnd w:id="5"/>
    </w:p>
    <w:p w14:paraId="760A0A12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El layout físico define la distribución de los equipos en el espacio. Dado el modelo híbrido de WISP, se documentan dos niveles: el site principal (rack en oficina central) y los nodos de borde (gabinetes de zona).</w:t>
      </w:r>
    </w:p>
    <w:p w14:paraId="7A3147C7" w14:textId="77777777" w:rsidR="00CD4BC0" w:rsidRDefault="00000000">
      <w:pPr>
        <w:pStyle w:val="Ttulo2"/>
        <w:spacing w:before="260" w:after="120"/>
      </w:pPr>
      <w:bookmarkStart w:id="6" w:name="_Toc234269195"/>
      <w:r>
        <w:rPr>
          <w:b/>
          <w:bCs/>
          <w:color w:val="2E5496"/>
        </w:rPr>
        <w:t>2.1 Layout del site principal (rack propuesto)</w:t>
      </w:r>
      <w:bookmarkEnd w:id="6"/>
    </w:p>
    <w:p w14:paraId="4F9B8538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Se propone un rack de 42U en la oficina central de WISP, organizado según buenas prácticas (equipos pesados abajo, gestión térmica, energía de respaldo). La distribución vertical recomendada es:</w:t>
      </w:r>
    </w:p>
    <w:p w14:paraId="1C528CCA" w14:textId="77777777" w:rsidR="00CD4BC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24F3590" wp14:editId="53C69D2B">
            <wp:extent cx="3619500" cy="4000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D3E3" w14:textId="77777777" w:rsidR="00CD4BC0" w:rsidRDefault="00000000">
      <w:pPr>
        <w:spacing w:after="120"/>
        <w:jc w:val="center"/>
      </w:pPr>
      <w:r>
        <w:rPr>
          <w:i/>
          <w:iCs/>
          <w:color w:val="44546A"/>
          <w:sz w:val="18"/>
          <w:szCs w:val="18"/>
        </w:rPr>
        <w:t>Figura 1. Layout físico del site principal: distribución del rack 42U propuesto.</w:t>
      </w:r>
    </w:p>
    <w:p w14:paraId="7CA06F46" w14:textId="77777777" w:rsidR="00CD4BC0" w:rsidRDefault="00000000">
      <w:pPr>
        <w:pStyle w:val="Ttulo2"/>
        <w:spacing w:before="260" w:after="120"/>
      </w:pPr>
      <w:bookmarkStart w:id="7" w:name="_Toc234269196"/>
      <w:r>
        <w:rPr>
          <w:b/>
          <w:bCs/>
          <w:color w:val="2E5496"/>
        </w:rPr>
        <w:t>2.2 Layout de un nodo de borde (gabinete de zona)</w:t>
      </w:r>
      <w:bookmarkEnd w:id="7"/>
    </w:p>
    <w:p w14:paraId="31D9B908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Cada una de las 13 zonas cuenta con un gabinete compacto que aloja el equipamiento mínimo para operar la zona. Su distribución es:</w:t>
      </w:r>
    </w:p>
    <w:tbl>
      <w:tblPr>
        <w:tblW w:w="9360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CD4BC0" w14:paraId="636FC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C3144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43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AAA82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0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C2EE4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Consumo aprox.</w:t>
            </w:r>
          </w:p>
        </w:tc>
      </w:tr>
      <w:tr w:rsidR="00CD4BC0" w14:paraId="46000F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39F66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MikroTik RB4011</w:t>
            </w:r>
          </w:p>
        </w:tc>
        <w:tc>
          <w:tcPr>
            <w:tcW w:w="4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6E12B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Router de borde: PPPoE, firewall, VPN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93C04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~25 W</w:t>
            </w:r>
          </w:p>
        </w:tc>
      </w:tr>
      <w:tr w:rsidR="00CD4BC0" w14:paraId="675D62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4C42D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OLT VSOL</w:t>
            </w:r>
          </w:p>
        </w:tc>
        <w:tc>
          <w:tcPr>
            <w:tcW w:w="4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696C4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Concentración de fibra (GPON)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29B51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~30 W</w:t>
            </w:r>
          </w:p>
        </w:tc>
      </w:tr>
      <w:tr w:rsidR="00CD4BC0" w14:paraId="4848C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957F8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UPS</w:t>
            </w:r>
          </w:p>
        </w:tc>
        <w:tc>
          <w:tcPr>
            <w:tcW w:w="4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07BCC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Energía de respaldo ante cortes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9E527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600-800 VA</w:t>
            </w:r>
          </w:p>
        </w:tc>
      </w:tr>
      <w:tr w:rsidR="00CD4BC0" w14:paraId="2B7BB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91F2C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Patch panel / ODF</w:t>
            </w:r>
          </w:p>
        </w:tc>
        <w:tc>
          <w:tcPr>
            <w:tcW w:w="4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DA8C3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Organización de fibra y cableado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00925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</w:tr>
      <w:tr w:rsidR="00CD4BC0" w14:paraId="4FE74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12B13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Ventilación</w:t>
            </w:r>
          </w:p>
        </w:tc>
        <w:tc>
          <w:tcPr>
            <w:tcW w:w="4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E618D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Disipación térmica del gabinete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13C68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</w:tr>
    </w:tbl>
    <w:p w14:paraId="76C15F17" w14:textId="77777777" w:rsidR="00CD4BC0" w:rsidRDefault="00CD4BC0">
      <w:pPr>
        <w:spacing w:after="80"/>
      </w:pPr>
    </w:p>
    <w:tbl>
      <w:tblPr>
        <w:tblW w:w="9360" w:type="dxa"/>
        <w:tblBorders>
          <w:top w:val="single" w:sz="2" w:space="0" w:color="2E5496"/>
          <w:left w:val="single" w:sz="24" w:space="0" w:color="2E5496"/>
          <w:bottom w:val="single" w:sz="2" w:space="0" w:color="2E5496"/>
          <w:right w:val="single" w:sz="2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BC0" w14:paraId="56298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9FFAC" w14:textId="77777777" w:rsidR="00CD4BC0" w:rsidRDefault="00000000">
            <w:pPr>
              <w:spacing w:after="60"/>
            </w:pPr>
            <w:r>
              <w:rPr>
                <w:b/>
                <w:bCs/>
                <w:color w:val="2E5496"/>
              </w:rPr>
              <w:t>Buenas prácticas de layout aplicadas</w:t>
            </w:r>
          </w:p>
          <w:p w14:paraId="44824F50" w14:textId="77777777" w:rsidR="00CD4BC0" w:rsidRDefault="00000000">
            <w:pPr>
              <w:jc w:val="both"/>
            </w:pPr>
            <w:r>
              <w:rPr>
                <w:color w:val="333333"/>
                <w:sz w:val="21"/>
                <w:szCs w:val="21"/>
              </w:rPr>
              <w:t xml:space="preserve">El diseño sigue buenas prácticas de centro de datos: separación de flujos de aire (pasillo frío/caliente conceptual), equipos de mayor peso y consumo en la base del rack, energía de respaldo (UPS) protegiendo </w:t>
            </w:r>
            <w:r>
              <w:rPr>
                <w:color w:val="333333"/>
                <w:sz w:val="21"/>
                <w:szCs w:val="21"/>
              </w:rPr>
              <w:lastRenderedPageBreak/>
              <w:t>los equipos críticos, y organización del cableado (patch panel) para facilitar el mantenimiento. En los nodos de borde, el gabinete debe ubicarse en un espacio ventilado, seguro y con acceso restringido.</w:t>
            </w:r>
          </w:p>
        </w:tc>
      </w:tr>
    </w:tbl>
    <w:p w14:paraId="11C1BE6C" w14:textId="77777777" w:rsidR="00CD4BC0" w:rsidRDefault="00000000">
      <w:r>
        <w:lastRenderedPageBreak/>
        <w:br w:type="page"/>
      </w:r>
    </w:p>
    <w:p w14:paraId="50B2EE8E" w14:textId="77777777" w:rsidR="00CD4BC0" w:rsidRDefault="00000000">
      <w:pPr>
        <w:pStyle w:val="Ttulo1"/>
        <w:spacing w:before="320" w:after="160"/>
      </w:pPr>
      <w:bookmarkStart w:id="8" w:name="_Toc234269197"/>
      <w:r>
        <w:rPr>
          <w:b/>
          <w:bCs/>
          <w:color w:val="1F3864"/>
        </w:rPr>
        <w:lastRenderedPageBreak/>
        <w:t>Sección 3: Dimensionamiento de Capacidad</w:t>
      </w:r>
      <w:bookmarkEnd w:id="8"/>
    </w:p>
    <w:tbl>
      <w:tblPr>
        <w:tblW w:w="9360" w:type="dxa"/>
        <w:tblBorders>
          <w:top w:val="single" w:sz="2" w:space="0" w:color="44546A"/>
          <w:left w:val="single" w:sz="2" w:space="0" w:color="44546A"/>
          <w:bottom w:val="single" w:sz="2" w:space="0" w:color="44546A"/>
          <w:right w:val="single" w:sz="2" w:space="0" w:color="44546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BC0" w14:paraId="0F59E5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7695B3" w14:textId="77777777" w:rsidR="00CD4BC0" w:rsidRDefault="00000000"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(capacity planning): </w:t>
            </w:r>
            <w:r>
              <w:rPr>
                <w:i/>
                <w:iCs/>
                <w:color w:val="444444"/>
                <w:sz w:val="19"/>
                <w:szCs w:val="19"/>
              </w:rPr>
              <w:t>El dimensionamiento estima los recursos (CPU, RAM, almacenamiento, energía) necesarios para soportar la carga actual con margen para el crecimiento. Se calcula sumando los requerimientos de cada servicio y aplicando un margen de seguridad (típicamente 30-40%) más el sistema operativo.</w:t>
            </w:r>
          </w:p>
        </w:tc>
      </w:tr>
    </w:tbl>
    <w:p w14:paraId="06BC670D" w14:textId="77777777" w:rsidR="00CD4BC0" w:rsidRDefault="00CD4BC0">
      <w:pPr>
        <w:spacing w:after="80"/>
      </w:pPr>
    </w:p>
    <w:p w14:paraId="04CA03F1" w14:textId="77777777" w:rsidR="00CD4BC0" w:rsidRDefault="00000000">
      <w:pPr>
        <w:pStyle w:val="Ttulo2"/>
        <w:spacing w:before="260" w:after="120"/>
      </w:pPr>
      <w:bookmarkStart w:id="9" w:name="_Toc234269198"/>
      <w:r>
        <w:rPr>
          <w:b/>
          <w:bCs/>
          <w:color w:val="2E5496"/>
        </w:rPr>
        <w:t>3.1 Dimensionamiento de cómputo (CPU y RAM)</w:t>
      </w:r>
      <w:bookmarkEnd w:id="9"/>
    </w:p>
    <w:p w14:paraId="5505DA17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Los servicios que ejecuta el núcleo (VPS o servidor de virtualización) y sus requerimientos individuales son:</w:t>
      </w:r>
    </w:p>
    <w:tbl>
      <w:tblPr>
        <w:tblW w:w="9360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CD4BC0" w14:paraId="4BAE4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C7E45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 (VM/contenedor)</w:t>
            </w:r>
          </w:p>
        </w:tc>
        <w:tc>
          <w:tcPr>
            <w:tcW w:w="18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4F5B6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vCPU</w:t>
            </w:r>
          </w:p>
        </w:tc>
        <w:tc>
          <w:tcPr>
            <w:tcW w:w="18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2F606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RAM (GB)</w:t>
            </w:r>
          </w:p>
        </w:tc>
        <w:tc>
          <w:tcPr>
            <w:tcW w:w="18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512C8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Disco (GB)</w:t>
            </w:r>
          </w:p>
        </w:tc>
      </w:tr>
      <w:tr w:rsidR="00CD4BC0" w14:paraId="7DB4435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BC432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Backend Django (API REST)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2BB49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7A295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4F769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20</w:t>
            </w:r>
          </w:p>
        </w:tc>
      </w:tr>
      <w:tr w:rsidR="00CD4BC0" w14:paraId="37586D5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87CC3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Base de datos PostgreSQL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6E6A3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AAB9E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6B346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50</w:t>
            </w:r>
          </w:p>
        </w:tc>
      </w:tr>
      <w:tr w:rsidR="00CD4BC0" w14:paraId="6F966F1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714BE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Frontend Angular (web)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3A613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6F3B3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02132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10</w:t>
            </w:r>
          </w:p>
        </w:tc>
      </w:tr>
      <w:tr w:rsidR="00CD4BC0" w14:paraId="7CD9E7F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02C1A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WhatsApp Node.js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8D98E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EFD04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D79E3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10</w:t>
            </w:r>
          </w:p>
        </w:tc>
      </w:tr>
      <w:tr w:rsidR="00CD4BC0" w14:paraId="6C0E9EC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58550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WireGuard VPN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83517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983D4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33901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</w:tr>
      <w:tr w:rsidR="00CD4BC0" w14:paraId="0545D11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EE43C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Monitoreo / logs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68977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498DC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908DD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20</w:t>
            </w:r>
          </w:p>
        </w:tc>
      </w:tr>
      <w:tr w:rsidR="00CD4BC0" w14:paraId="2D196A7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44546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2374A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SUBTOTAL</w:t>
            </w:r>
          </w:p>
        </w:tc>
        <w:tc>
          <w:tcPr>
            <w:tcW w:w="1800" w:type="dxa"/>
            <w:shd w:val="clear" w:color="auto" w:fill="44546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001FA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1800" w:type="dxa"/>
            <w:shd w:val="clear" w:color="auto" w:fill="44546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8A378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1800" w:type="dxa"/>
            <w:shd w:val="clear" w:color="auto" w:fill="44546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40FA7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115</w:t>
            </w:r>
          </w:p>
        </w:tc>
      </w:tr>
      <w:tr w:rsidR="00CD4BC0" w14:paraId="0C5A8D1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50C66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+ Margen 40% y SO → RECOMENDADO</w:t>
            </w:r>
          </w:p>
        </w:tc>
        <w:tc>
          <w:tcPr>
            <w:tcW w:w="18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98A5C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8-12</w:t>
            </w:r>
          </w:p>
        </w:tc>
        <w:tc>
          <w:tcPr>
            <w:tcW w:w="18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DB513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16-32</w:t>
            </w:r>
          </w:p>
        </w:tc>
        <w:tc>
          <w:tcPr>
            <w:tcW w:w="18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888F1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256</w:t>
            </w:r>
          </w:p>
        </w:tc>
      </w:tr>
    </w:tbl>
    <w:p w14:paraId="08E3C231" w14:textId="77777777" w:rsidR="00CD4BC0" w:rsidRDefault="00CD4BC0">
      <w:pPr>
        <w:spacing w:after="80"/>
      </w:pPr>
    </w:p>
    <w:tbl>
      <w:tblPr>
        <w:tblW w:w="9360" w:type="dxa"/>
        <w:tblBorders>
          <w:top w:val="single" w:sz="2" w:space="0" w:color="2E5496"/>
          <w:left w:val="single" w:sz="24" w:space="0" w:color="2E5496"/>
          <w:bottom w:val="single" w:sz="2" w:space="0" w:color="2E5496"/>
          <w:right w:val="single" w:sz="2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BC0" w14:paraId="5F8AE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7791" w14:textId="77777777" w:rsidR="00CD4BC0" w:rsidRDefault="00000000">
            <w:pPr>
              <w:spacing w:after="60"/>
            </w:pPr>
            <w:r>
              <w:rPr>
                <w:b/>
                <w:bCs/>
                <w:color w:val="2E5496"/>
              </w:rPr>
              <w:t>Cálculo del dimensionamiento</w:t>
            </w:r>
          </w:p>
          <w:p w14:paraId="4800BE22" w14:textId="77777777" w:rsidR="00CD4BC0" w:rsidRDefault="00000000">
            <w:pPr>
              <w:jc w:val="both"/>
            </w:pPr>
            <w:r>
              <w:rPr>
                <w:color w:val="333333"/>
                <w:sz w:val="21"/>
                <w:szCs w:val="21"/>
              </w:rPr>
              <w:t>Suma de servicios: 8 vCPU, 15 GB RAM, 115 GB. Aplicando un margen del 40% para picos y crecimiento, más recursos para el sistema operativo, el núcleo recomendado es de 8 a 12 vCPU, 16 a 32 GB de RAM y 256 GB de SSD. Esta configuración es alcanzable con un VPS de gama media o un servidor físico modesto, y cubre holgadamente la operación actual.</w:t>
            </w:r>
          </w:p>
        </w:tc>
      </w:tr>
    </w:tbl>
    <w:p w14:paraId="6F57F8E1" w14:textId="77777777" w:rsidR="00CD4BC0" w:rsidRDefault="00CD4BC0">
      <w:pPr>
        <w:spacing w:after="80"/>
      </w:pPr>
    </w:p>
    <w:p w14:paraId="1CF3BA24" w14:textId="77777777" w:rsidR="00CD4BC0" w:rsidRDefault="00000000">
      <w:pPr>
        <w:pStyle w:val="Ttulo2"/>
        <w:spacing w:before="260" w:after="120"/>
      </w:pPr>
      <w:bookmarkStart w:id="10" w:name="_Toc234269199"/>
      <w:r>
        <w:rPr>
          <w:b/>
          <w:bCs/>
          <w:color w:val="2E5496"/>
        </w:rPr>
        <w:t>3.2 Dimensionamiento de almacenamiento de datos</w:t>
      </w:r>
      <w:bookmarkEnd w:id="10"/>
    </w:p>
    <w:p w14:paraId="4D38A7DB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El almacenamiento se estima a partir del volumen de datos por cliente (registro + evidencias fotográficas de instalación):</w:t>
      </w:r>
    </w:p>
    <w:tbl>
      <w:tblPr>
        <w:tblW w:w="9360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760"/>
        <w:gridCol w:w="2000"/>
      </w:tblGrid>
      <w:tr w:rsidR="00CD4BC0" w14:paraId="72586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C5FEB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37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8684D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Cálculo</w:t>
            </w:r>
          </w:p>
        </w:tc>
        <w:tc>
          <w:tcPr>
            <w:tcW w:w="20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63912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CD4BC0" w14:paraId="3B705A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4B9D5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Datos por cliente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A0AB4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Registro + fotos comprimidas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96B91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~30 MB</w:t>
            </w:r>
          </w:p>
        </w:tc>
      </w:tr>
      <w:tr w:rsidR="00CD4BC0" w14:paraId="6CC719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7CB4D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Total actual (455 clientes)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F3399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455 × 30 MB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B3A43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~13.3 GB</w:t>
            </w:r>
          </w:p>
        </w:tc>
      </w:tr>
      <w:tr w:rsidR="00CD4BC0" w14:paraId="5FF14B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19729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Proyección 3 años (~910)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0BD1C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910 × 30 MB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3C45E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~26.7 GB</w:t>
            </w:r>
          </w:p>
        </w:tc>
      </w:tr>
      <w:tr w:rsidR="00CD4BC0" w14:paraId="4452A0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0AEE4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Con backups (×3) y margen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23619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~26.7 × 3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22BAE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~80 GB</w:t>
            </w:r>
          </w:p>
        </w:tc>
      </w:tr>
      <w:tr w:rsidR="00CD4BC0" w14:paraId="0A3AE9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FDC93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ALMACENAMIENTO RECOMENDADO</w:t>
            </w:r>
          </w:p>
        </w:tc>
        <w:tc>
          <w:tcPr>
            <w:tcW w:w="376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DAFCB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SSD con margen de crecimiento</w:t>
            </w:r>
          </w:p>
        </w:tc>
        <w:tc>
          <w:tcPr>
            <w:tcW w:w="20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DE805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256-512 GB</w:t>
            </w:r>
          </w:p>
        </w:tc>
      </w:tr>
    </w:tbl>
    <w:p w14:paraId="11206DFF" w14:textId="77777777" w:rsidR="00CD4BC0" w:rsidRDefault="00CD4BC0">
      <w:pPr>
        <w:spacing w:after="80"/>
      </w:pPr>
    </w:p>
    <w:p w14:paraId="24289A31" w14:textId="77777777" w:rsidR="00CD4BC0" w:rsidRDefault="00000000">
      <w:pPr>
        <w:pStyle w:val="Ttulo2"/>
        <w:spacing w:before="260" w:after="120"/>
      </w:pPr>
      <w:bookmarkStart w:id="11" w:name="_Toc234269200"/>
      <w:r>
        <w:rPr>
          <w:b/>
          <w:bCs/>
          <w:color w:val="2E5496"/>
        </w:rPr>
        <w:t>3.3 Dimensionamiento de energía (site principal)</w:t>
      </w:r>
      <w:bookmarkEnd w:id="11"/>
    </w:p>
    <w:p w14:paraId="44B01960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El consumo energético del site principal propuesto y el UPS necesario se calculan así:</w:t>
      </w:r>
    </w:p>
    <w:tbl>
      <w:tblPr>
        <w:tblW w:w="9360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360"/>
        <w:gridCol w:w="3400"/>
      </w:tblGrid>
      <w:tr w:rsidR="00CD4BC0" w14:paraId="2CE52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A4DF8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23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DF19F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Consumo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B2207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 w:rsidR="00CD4BC0" w14:paraId="753094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795A6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Servidor físico</w:t>
            </w:r>
          </w:p>
        </w:tc>
        <w:tc>
          <w:tcPr>
            <w:tcW w:w="2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14EE1A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200 W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F2B65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Virtualización / respaldo</w:t>
            </w:r>
          </w:p>
        </w:tc>
      </w:tr>
      <w:tr w:rsidR="00CD4BC0" w14:paraId="3BEBCF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4AE9F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NAS almacenamiento</w:t>
            </w:r>
          </w:p>
        </w:tc>
        <w:tc>
          <w:tcPr>
            <w:tcW w:w="2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BF356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60 W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30175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Backups locales (RAID)</w:t>
            </w:r>
          </w:p>
        </w:tc>
      </w:tr>
      <w:tr w:rsidR="00CD4BC0" w14:paraId="724D52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0C843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MikroTik + switch</w:t>
            </w:r>
          </w:p>
        </w:tc>
        <w:tc>
          <w:tcPr>
            <w:tcW w:w="2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FA0C9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50 W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80ED1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Red del site</w:t>
            </w:r>
          </w:p>
        </w:tc>
      </w:tr>
      <w:tr w:rsidR="00CD4BC0" w14:paraId="5D83ED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31043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Otros (patch, PDU)</w:t>
            </w:r>
          </w:p>
        </w:tc>
        <w:tc>
          <w:tcPr>
            <w:tcW w:w="23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39CCE" w14:textId="77777777" w:rsidR="00CD4BC0" w:rsidRDefault="00000000">
            <w:pPr>
              <w:spacing w:before="30" w:after="30"/>
              <w:jc w:val="center"/>
            </w:pPr>
            <w:r>
              <w:rPr>
                <w:color w:val="222222"/>
                <w:sz w:val="18"/>
                <w:szCs w:val="18"/>
              </w:rPr>
              <w:t>40 W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342BC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Accesorios</w:t>
            </w:r>
          </w:p>
        </w:tc>
      </w:tr>
      <w:tr w:rsidR="00CD4BC0" w14:paraId="5F70D0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44546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BF13D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CONSUMO TOTAL</w:t>
            </w:r>
          </w:p>
        </w:tc>
        <w:tc>
          <w:tcPr>
            <w:tcW w:w="2360" w:type="dxa"/>
            <w:shd w:val="clear" w:color="auto" w:fill="44546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26F21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350 W</w:t>
            </w:r>
          </w:p>
        </w:tc>
        <w:tc>
          <w:tcPr>
            <w:tcW w:w="3400" w:type="dxa"/>
            <w:shd w:val="clear" w:color="auto" w:fill="44546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E00C8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UPS ~500 VA (15-20 min)</w:t>
            </w:r>
          </w:p>
        </w:tc>
      </w:tr>
    </w:tbl>
    <w:p w14:paraId="05FD672D" w14:textId="77777777" w:rsidR="00CD4BC0" w:rsidRDefault="00CD4BC0">
      <w:pPr>
        <w:spacing w:after="80"/>
      </w:pPr>
    </w:p>
    <w:p w14:paraId="656BD46E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Para los nodos de borde, cada gabinete consume aproximadamente 55 W (MikroTik + OLT) y se protege con un UPS de 600-800 VA, suficiente para mantener la conectividad durante cortes eléctricos breves y ordenar un apagado seguro.</w:t>
      </w:r>
    </w:p>
    <w:p w14:paraId="74C16ACE" w14:textId="77777777" w:rsidR="00CD4BC0" w:rsidRDefault="00000000">
      <w:r>
        <w:br w:type="page"/>
      </w:r>
    </w:p>
    <w:p w14:paraId="3B2B61CA" w14:textId="77777777" w:rsidR="00CD4BC0" w:rsidRDefault="00000000">
      <w:pPr>
        <w:pStyle w:val="Ttulo1"/>
        <w:spacing w:before="320" w:after="160"/>
      </w:pPr>
      <w:bookmarkStart w:id="12" w:name="_Toc234269201"/>
      <w:r>
        <w:rPr>
          <w:b/>
          <w:bCs/>
          <w:color w:val="1F3864"/>
        </w:rPr>
        <w:lastRenderedPageBreak/>
        <w:t>Sección 4: Virtualización y Cloud Híbrido</w:t>
      </w:r>
      <w:bookmarkEnd w:id="12"/>
    </w:p>
    <w:tbl>
      <w:tblPr>
        <w:tblW w:w="9360" w:type="dxa"/>
        <w:tblBorders>
          <w:top w:val="single" w:sz="2" w:space="0" w:color="44546A"/>
          <w:left w:val="single" w:sz="2" w:space="0" w:color="44546A"/>
          <w:bottom w:val="single" w:sz="2" w:space="0" w:color="44546A"/>
          <w:right w:val="single" w:sz="2" w:space="0" w:color="44546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BC0" w14:paraId="38C12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534D17" w14:textId="77777777" w:rsidR="00CD4BC0" w:rsidRDefault="00000000"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(virtualización y nube híbrida): </w:t>
            </w:r>
            <w:r>
              <w:rPr>
                <w:i/>
                <w:iCs/>
                <w:color w:val="444444"/>
                <w:sz w:val="19"/>
                <w:szCs w:val="19"/>
              </w:rPr>
              <w:t>La virtualización permite ejecutar múltiples máquinas virtuales (VM) o contenedores sobre un mismo hardware físico, optimizando el uso de recursos. Un modelo de nube híbrida combina recursos en la nube pública con infraestructura on-premise, buscando el equilibrio entre escalabilidad, costo y control.</w:t>
            </w:r>
          </w:p>
        </w:tc>
      </w:tr>
    </w:tbl>
    <w:p w14:paraId="64557CB6" w14:textId="77777777" w:rsidR="00CD4BC0" w:rsidRDefault="00CD4BC0">
      <w:pPr>
        <w:spacing w:after="80"/>
      </w:pPr>
    </w:p>
    <w:p w14:paraId="3E9E47C1" w14:textId="77777777" w:rsidR="00CD4BC0" w:rsidRDefault="00000000">
      <w:pPr>
        <w:pStyle w:val="Ttulo2"/>
        <w:spacing w:before="260" w:after="120"/>
      </w:pPr>
      <w:bookmarkStart w:id="13" w:name="_Toc234269202"/>
      <w:r>
        <w:rPr>
          <w:b/>
          <w:bCs/>
          <w:color w:val="2E5496"/>
        </w:rPr>
        <w:t>4.1 Esquema de arquitectura híbrida</w:t>
      </w:r>
      <w:bookmarkEnd w:id="13"/>
    </w:p>
    <w:p w14:paraId="593397B2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WISP adopta un modelo híbrido de tres capas: el núcleo lógico en la nube (VPS), un site principal on-premise para respaldo y gestión, y los nodos de borde en las 13 zonas. La integración se realiza mediante la VPN WireGuard.</w:t>
      </w:r>
    </w:p>
    <w:p w14:paraId="2B4F66AD" w14:textId="77777777" w:rsidR="00CD4BC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5885BE2" wp14:editId="5B3997BC">
            <wp:extent cx="5715000" cy="3810000"/>
            <wp:effectExtent l="0" t="0" r="0" b="0"/>
            <wp:docPr id="1764294522" name="Imagen 176429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BA9D" w14:textId="77777777" w:rsidR="00CD4BC0" w:rsidRDefault="00000000">
      <w:pPr>
        <w:spacing w:after="120"/>
        <w:jc w:val="center"/>
      </w:pPr>
      <w:r>
        <w:rPr>
          <w:i/>
          <w:iCs/>
          <w:color w:val="44546A"/>
          <w:sz w:val="18"/>
          <w:szCs w:val="18"/>
        </w:rPr>
        <w:t>Figura 2. Arquitectura de centro de datos híbrido: nube (núcleo) + site on-premise (respaldo) + nodos de borde (zonas).</w:t>
      </w:r>
    </w:p>
    <w:p w14:paraId="6F5DE29D" w14:textId="77777777" w:rsidR="00CD4BC0" w:rsidRDefault="00000000">
      <w:pPr>
        <w:pStyle w:val="Ttulo2"/>
        <w:spacing w:before="260" w:after="120"/>
      </w:pPr>
      <w:bookmarkStart w:id="14" w:name="_Toc234269203"/>
      <w:r>
        <w:rPr>
          <w:b/>
          <w:bCs/>
          <w:color w:val="2E5496"/>
        </w:rPr>
        <w:t>4.2 Estrategia de virtualización</w:t>
      </w:r>
      <w:bookmarkEnd w:id="14"/>
    </w:p>
    <w:p w14:paraId="7FCB891B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Los servicios del núcleo se despliegan como contenedores (Docker) o máquinas virtuales, lo que aporta aislamiento, portabilidad y facilidad de respaldo:</w:t>
      </w:r>
    </w:p>
    <w:tbl>
      <w:tblPr>
        <w:tblW w:w="9360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60"/>
        <w:gridCol w:w="3000"/>
      </w:tblGrid>
      <w:tr w:rsidR="00CD4BC0" w14:paraId="7CD65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7DC8D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37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4DDEC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Enfoque para WISP</w:t>
            </w:r>
          </w:p>
        </w:tc>
        <w:tc>
          <w:tcPr>
            <w:tcW w:w="30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27242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Beneficio</w:t>
            </w:r>
          </w:p>
        </w:tc>
      </w:tr>
      <w:tr w:rsidR="00CD4BC0" w14:paraId="2139C0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C0640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Tecnología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89FAF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Contenedores Docker (o VMs ligeras)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305FE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Aislamiento y portabilidad de servicios</w:t>
            </w:r>
          </w:p>
        </w:tc>
      </w:tr>
      <w:tr w:rsidR="00CD4BC0" w14:paraId="6797F1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F906A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Orquestación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40036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Docker Compose (escala actual)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8D8F5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Despliegue reproducible y simple</w:t>
            </w:r>
          </w:p>
        </w:tc>
      </w:tr>
      <w:tr w:rsidR="00CD4BC0" w14:paraId="151AD6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74BFE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Nube pública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B24B1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VPS (DigitalOcean/AWS/similar)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B76D7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Escalabilidad y alta disponibilidad</w:t>
            </w:r>
          </w:p>
        </w:tc>
      </w:tr>
      <w:tr w:rsidR="00CD4BC0" w14:paraId="6A5A53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43534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On-premise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9E79A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Servidor físico en oficina central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6E55F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Respaldo local y control</w:t>
            </w:r>
          </w:p>
        </w:tc>
      </w:tr>
      <w:tr w:rsidR="00CD4BC0" w14:paraId="5C4D52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08545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Integración</w:t>
            </w:r>
          </w:p>
        </w:tc>
        <w:tc>
          <w:tcPr>
            <w:tcW w:w="3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56B5A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WireGuard entre nube, site y zonas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439E1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Comunicación segura y unificada</w:t>
            </w:r>
          </w:p>
        </w:tc>
      </w:tr>
    </w:tbl>
    <w:p w14:paraId="1D73B81A" w14:textId="77777777" w:rsidR="00CD4BC0" w:rsidRDefault="00CD4BC0">
      <w:pPr>
        <w:spacing w:after="80"/>
      </w:pPr>
    </w:p>
    <w:tbl>
      <w:tblPr>
        <w:tblW w:w="9360" w:type="dxa"/>
        <w:tblBorders>
          <w:top w:val="single" w:sz="2" w:space="0" w:color="548235"/>
          <w:left w:val="single" w:sz="24" w:space="0" w:color="548235"/>
          <w:bottom w:val="single" w:sz="2" w:space="0" w:color="548235"/>
          <w:right w:val="single" w:sz="2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BC0" w14:paraId="54FB4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6A7B08" w14:textId="77777777" w:rsidR="00CD4BC0" w:rsidRDefault="00000000">
            <w:pPr>
              <w:spacing w:after="60"/>
            </w:pPr>
            <w:r>
              <w:rPr>
                <w:b/>
                <w:bCs/>
                <w:color w:val="548235"/>
              </w:rPr>
              <w:t>Ventaja del modelo híbrido para WISP</w:t>
            </w:r>
          </w:p>
          <w:p w14:paraId="3EFEEDF3" w14:textId="77777777" w:rsidR="00CD4BC0" w:rsidRDefault="00000000">
            <w:pPr>
              <w:jc w:val="both"/>
            </w:pPr>
            <w:r>
              <w:rPr>
                <w:color w:val="333333"/>
                <w:sz w:val="21"/>
                <w:szCs w:val="21"/>
              </w:rPr>
              <w:lastRenderedPageBreak/>
              <w:t>El modelo híbrido combina lo mejor de ambos mundos: la nube aporta escalabilidad y disponibilidad para el núcleo crítico (sin invertir en hardware costoso), mientras que el site on-premise y los nodos de borde mantienen el control local y la continuidad del servicio en las zonas. La virtualización por contenedores facilita mover o replicar servicios entre la nube y el site on-premise, habilitando escenarios de respaldo y recuperación ante desastres (DR).</w:t>
            </w:r>
          </w:p>
        </w:tc>
      </w:tr>
    </w:tbl>
    <w:p w14:paraId="473EFB74" w14:textId="77777777" w:rsidR="00CD4BC0" w:rsidRDefault="00000000">
      <w:r>
        <w:lastRenderedPageBreak/>
        <w:br w:type="page"/>
      </w:r>
    </w:p>
    <w:p w14:paraId="56417013" w14:textId="77777777" w:rsidR="00CD4BC0" w:rsidRDefault="00000000">
      <w:pPr>
        <w:pStyle w:val="Ttulo1"/>
        <w:spacing w:before="320" w:after="160"/>
      </w:pPr>
      <w:bookmarkStart w:id="15" w:name="_Toc234269204"/>
      <w:r>
        <w:rPr>
          <w:b/>
          <w:bCs/>
          <w:color w:val="1F3864"/>
        </w:rPr>
        <w:lastRenderedPageBreak/>
        <w:t>Anexos</w:t>
      </w:r>
      <w:bookmarkEnd w:id="15"/>
    </w:p>
    <w:p w14:paraId="27756810" w14:textId="77777777" w:rsidR="00CD4BC0" w:rsidRDefault="00000000">
      <w:pPr>
        <w:pStyle w:val="Ttulo2"/>
        <w:spacing w:before="260" w:after="120"/>
      </w:pPr>
      <w:bookmarkStart w:id="16" w:name="_Toc234269205"/>
      <w:r>
        <w:rPr>
          <w:b/>
          <w:bCs/>
          <w:color w:val="2E5496"/>
        </w:rPr>
        <w:t>Anexo A: Cálculos detallados de dimensionamiento</w:t>
      </w:r>
      <w:bookmarkEnd w:id="16"/>
    </w:p>
    <w:p w14:paraId="5E25FB83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Memoria de cálculo del dimensionamiento de cómputo:</w:t>
      </w:r>
    </w:p>
    <w:p w14:paraId="722EB84A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Suma de servicios: 2+2+1+1+1+1 = 8 vCPU; 4+4+2+2+1+2 = 15 GB RAM; 20+50+10+10+5+20 = 115 GB disco.</w:t>
      </w:r>
    </w:p>
    <w:p w14:paraId="0560D7B6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Margen de crecimiento y picos (40%): 8 × 1.4 ≈ 11 vCPU; 15 × 1.4 ≈ 21 GB RAM.</w:t>
      </w:r>
    </w:p>
    <w:p w14:paraId="6F401916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Más sistema operativo y contingencia de disco: 115 × 1.4 + 40 ≈ 201 GB → se redondea a 256 GB SSD.</w:t>
      </w:r>
    </w:p>
    <w:p w14:paraId="090F5522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Recomendación comercial: 8-12 vCPU, 16-32 GB RAM, 256 GB SSD.</w:t>
      </w:r>
    </w:p>
    <w:p w14:paraId="2C41C1CF" w14:textId="77777777" w:rsidR="00CD4BC0" w:rsidRDefault="00CD4BC0">
      <w:pPr>
        <w:spacing w:after="80"/>
      </w:pPr>
    </w:p>
    <w:p w14:paraId="71B4EE79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Memoria de cálculo del almacenamiento de datos:</w:t>
      </w:r>
    </w:p>
    <w:p w14:paraId="452D94B6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Datos + fotos por cliente: ~30 MB (registro + 10-15 fotos comprimidas de instalación).</w:t>
      </w:r>
    </w:p>
    <w:p w14:paraId="00AEF498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Actual: 455 × 30 MB ≈ 13.3 GB. Proyección 3 años (910 clientes): ≈ 26.7 GB.</w:t>
      </w:r>
    </w:p>
    <w:p w14:paraId="52EA22F7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Con 3 copias de respaldo y margen: ≈ 80 GB → 256-512 GB SSD para holgura.</w:t>
      </w:r>
    </w:p>
    <w:p w14:paraId="7B4C3CF6" w14:textId="77777777" w:rsidR="00CD4BC0" w:rsidRDefault="00CD4BC0">
      <w:pPr>
        <w:spacing w:after="80"/>
      </w:pPr>
    </w:p>
    <w:p w14:paraId="36CBAFDD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t>Memoria de cálculo de energía (site principal):</w:t>
      </w:r>
    </w:p>
    <w:p w14:paraId="3F268CEC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Consumo: 200 (servidor) + 60 (NAS) + 50 (red) + 40 (accesorios) = 350 W.</w:t>
      </w:r>
    </w:p>
    <w:p w14:paraId="44F91931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UPS: 350 W / 0.7 (factor de potencia) ≈ 500 VA para ~15-20 min de autonomía.</w:t>
      </w:r>
    </w:p>
    <w:p w14:paraId="23485660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Nodo de borde: ~55 W (MikroTik + OLT) → UPS 600-800 VA.</w:t>
      </w:r>
    </w:p>
    <w:p w14:paraId="29267818" w14:textId="77777777" w:rsidR="00CD4BC0" w:rsidRDefault="00CD4BC0">
      <w:pPr>
        <w:spacing w:after="80"/>
      </w:pPr>
    </w:p>
    <w:p w14:paraId="43D9F4AE" w14:textId="77777777" w:rsidR="00CD4BC0" w:rsidRDefault="00000000">
      <w:pPr>
        <w:pStyle w:val="Ttulo2"/>
        <w:spacing w:before="260" w:after="120"/>
      </w:pPr>
      <w:bookmarkStart w:id="17" w:name="_Toc234269206"/>
      <w:r>
        <w:rPr>
          <w:b/>
          <w:bCs/>
          <w:color w:val="2E5496"/>
        </w:rPr>
        <w:t>Anexo B: Referencias y su aplicación</w:t>
      </w:r>
      <w:bookmarkEnd w:id="17"/>
    </w:p>
    <w:tbl>
      <w:tblPr>
        <w:tblW w:w="9360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60"/>
        <w:gridCol w:w="3400"/>
      </w:tblGrid>
      <w:tr w:rsidR="00CD4BC0" w14:paraId="3180C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C8763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  <w:tc>
          <w:tcPr>
            <w:tcW w:w="29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2A213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Ámbito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0AD30" w14:textId="77777777" w:rsidR="00CD4BC0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Dónde se aplica</w:t>
            </w:r>
          </w:p>
        </w:tc>
      </w:tr>
      <w:tr w:rsidR="00CD4BC0" w14:paraId="45D4F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866EB6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Uptime Institute – Tier Standard</w:t>
            </w:r>
          </w:p>
        </w:tc>
        <w:tc>
          <w:tcPr>
            <w:tcW w:w="2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2131D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Clasificación de disponibilidad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3EE97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Sección 1 (definición de arquitectura Tier).</w:t>
            </w:r>
          </w:p>
        </w:tc>
      </w:tr>
      <w:tr w:rsidR="00CD4BC0" w14:paraId="567EA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A3526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ANSI/TIA-942</w:t>
            </w:r>
          </w:p>
        </w:tc>
        <w:tc>
          <w:tcPr>
            <w:tcW w:w="2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5A2E8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Estándar de infraestructura de data center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78FA6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Sección 2 (layout físico y buenas prácticas).</w:t>
            </w:r>
          </w:p>
        </w:tc>
      </w:tr>
      <w:tr w:rsidR="00CD4BC0" w14:paraId="0FFDD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281C0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Capacity planning (buenas prácticas)</w:t>
            </w:r>
          </w:p>
        </w:tc>
        <w:tc>
          <w:tcPr>
            <w:tcW w:w="2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895C3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Dimensionamiento de recursos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65313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Sección 3 (cálculos de CPU, RAM, almacenamiento, energía).</w:t>
            </w:r>
          </w:p>
        </w:tc>
      </w:tr>
      <w:tr w:rsidR="00CD4BC0" w14:paraId="520116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BE6AF" w14:textId="77777777" w:rsidR="00CD4BC0" w:rsidRDefault="00000000">
            <w:pPr>
              <w:spacing w:before="30" w:after="30"/>
            </w:pPr>
            <w:r>
              <w:rPr>
                <w:b/>
                <w:bCs/>
                <w:color w:val="1F3864"/>
                <w:sz w:val="18"/>
                <w:szCs w:val="18"/>
              </w:rPr>
              <w:t>Modelo de nube híbrida (NIST SP 800-145)</w:t>
            </w:r>
          </w:p>
        </w:tc>
        <w:tc>
          <w:tcPr>
            <w:tcW w:w="29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D72F5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Definición de computación en la nube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0015D" w14:textId="77777777" w:rsidR="00CD4BC0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Sección 4 (virtualización y cloud híbrido).</w:t>
            </w:r>
          </w:p>
        </w:tc>
      </w:tr>
    </w:tbl>
    <w:p w14:paraId="0ED7F4F5" w14:textId="77777777" w:rsidR="00CD4BC0" w:rsidRDefault="00CD4BC0">
      <w:pPr>
        <w:spacing w:after="80"/>
      </w:pPr>
    </w:p>
    <w:p w14:paraId="0DDD2377" w14:textId="77777777" w:rsidR="00CD4BC0" w:rsidRDefault="00000000">
      <w:pPr>
        <w:pStyle w:val="Ttulo3"/>
        <w:spacing w:before="200" w:after="100"/>
      </w:pPr>
      <w:bookmarkStart w:id="18" w:name="_Toc234269207"/>
      <w:r>
        <w:rPr>
          <w:b/>
          <w:bCs/>
          <w:color w:val="44546A"/>
          <w:sz w:val="23"/>
          <w:szCs w:val="23"/>
        </w:rPr>
        <w:t>Referencias bibliográficas</w:t>
      </w:r>
      <w:bookmarkEnd w:id="18"/>
    </w:p>
    <w:p w14:paraId="77A63224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Uptime Institute — Tier Classification System (Tier Standard: Topology).</w:t>
      </w:r>
    </w:p>
    <w:p w14:paraId="3DDE8BD6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ANSI/TIA-942 — Telecommunications Infrastructure Standard for Data Centers.</w:t>
      </w:r>
    </w:p>
    <w:p w14:paraId="1DA754DB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NIST SP 800-145 — The NIST Definition of Cloud Computing.</w:t>
      </w:r>
    </w:p>
    <w:p w14:paraId="376F0D4E" w14:textId="77777777" w:rsidR="00CD4BC0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222222"/>
        </w:rPr>
        <w:t>Documentación oficial de Docker y del proveedor de nube seleccionado.</w:t>
      </w:r>
    </w:p>
    <w:p w14:paraId="3A5E4892" w14:textId="77777777" w:rsidR="00CD4BC0" w:rsidRDefault="00CD4BC0">
      <w:pPr>
        <w:spacing w:after="80"/>
      </w:pPr>
    </w:p>
    <w:p w14:paraId="4E12DDB5" w14:textId="77777777" w:rsidR="00CD4BC0" w:rsidRDefault="00000000">
      <w:pPr>
        <w:pStyle w:val="Ttulo1"/>
        <w:spacing w:before="320" w:after="160"/>
      </w:pPr>
      <w:bookmarkStart w:id="19" w:name="_Toc234269208"/>
      <w:r>
        <w:rPr>
          <w:b/>
          <w:bCs/>
          <w:color w:val="1F3864"/>
        </w:rPr>
        <w:t>Conclusión</w:t>
      </w:r>
      <w:bookmarkEnd w:id="19"/>
    </w:p>
    <w:p w14:paraId="44D04C55" w14:textId="77777777" w:rsidR="00CD4BC0" w:rsidRDefault="00000000">
      <w:pPr>
        <w:spacing w:after="120" w:line="276" w:lineRule="auto"/>
        <w:jc w:val="both"/>
      </w:pPr>
      <w:r>
        <w:rPr>
          <w:color w:val="222222"/>
        </w:rPr>
        <w:lastRenderedPageBreak/>
        <w:t>El diseño de centro de datos propuesto para WISP resuelve el reto de una MYPE distribuida mediante un modelo híbrido de tres capas: un núcleo en la nube con disponibilidad equivalente a Tier III, un site principal on-premise para respaldo y gestión, y 13 nodos de borde con energía de respaldo. Se definieron la arquitectura Tier justificada según el Uptime Institute, el layout físico del rack y de los nodos, el dimensionamiento con cálculos reales (8-12 vCPU, 16-32 GB RAM, 256 GB SSD, UPS de 500 VA) y la estrategia de virtualización y cloud híbrido.</w:t>
      </w:r>
    </w:p>
    <w:tbl>
      <w:tblPr>
        <w:tblW w:w="9360" w:type="dxa"/>
        <w:tblBorders>
          <w:top w:val="single" w:sz="2" w:space="0" w:color="2E5496"/>
          <w:left w:val="single" w:sz="24" w:space="0" w:color="2E5496"/>
          <w:bottom w:val="single" w:sz="2" w:space="0" w:color="2E5496"/>
          <w:right w:val="single" w:sz="2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BC0" w14:paraId="124E0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D4215" w14:textId="77777777" w:rsidR="00CD4BC0" w:rsidRDefault="00000000">
            <w:pPr>
              <w:spacing w:after="60"/>
            </w:pPr>
            <w:r>
              <w:rPr>
                <w:b/>
                <w:bCs/>
                <w:color w:val="2E5496"/>
              </w:rPr>
              <w:t>Cierre de la parte documental de Infraestructura</w:t>
            </w:r>
          </w:p>
          <w:p w14:paraId="45ACD401" w14:textId="77777777" w:rsidR="00CD4BC0" w:rsidRDefault="00000000">
            <w:pPr>
              <w:jc w:val="both"/>
            </w:pPr>
            <w:r>
              <w:rPr>
                <w:color w:val="333333"/>
                <w:sz w:val="21"/>
                <w:szCs w:val="21"/>
              </w:rPr>
              <w:t>Con este entregable se completa la fase de diseño (Semestre 1) de la línea de Infraestructura: el Diseño de Red (Entregable 1) definió la conectividad, la Planificación de Seguridad (Entregable 2) la protección, y este Diseño de Centro de Datos la capacidad de cómputo y disponibilidad. Los tres se integran en el documento consolidado y sientan las bases para la fase de implementación del Semestre 2. La sugerencia de formalizar un site principal on-premise agrega resiliencia sin comprometer el presupuesto de una MYPE.</w:t>
            </w:r>
          </w:p>
        </w:tc>
      </w:tr>
    </w:tbl>
    <w:p w14:paraId="55D332C3" w14:textId="77777777" w:rsidR="00E760B0" w:rsidRDefault="00E760B0"/>
    <w:sectPr w:rsidR="00E760B0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5FA68" w14:textId="77777777" w:rsidR="00E760B0" w:rsidRDefault="00E760B0">
      <w:r>
        <w:separator/>
      </w:r>
    </w:p>
  </w:endnote>
  <w:endnote w:type="continuationSeparator" w:id="0">
    <w:p w14:paraId="2C8B5C30" w14:textId="77777777" w:rsidR="00E760B0" w:rsidRDefault="00E76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C42E" w14:textId="77777777" w:rsidR="00CD4BC0" w:rsidRDefault="00000000">
    <w:pPr>
      <w:pBdr>
        <w:top w:val="single" w:sz="4" w:space="0" w:color="1F3864"/>
      </w:pBdr>
      <w:jc w:val="center"/>
    </w:pPr>
    <w:r>
      <w:rPr>
        <w:color w:val="44546A"/>
        <w:sz w:val="16"/>
        <w:szCs w:val="16"/>
      </w:rPr>
      <w:t xml:space="preserve">Escuela Profesional de Ingeniería de Sistemas — UPeU    |    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934BA3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NUMPAGES</w:instrText>
    </w:r>
    <w:r>
      <w:rPr>
        <w:color w:val="44546A"/>
        <w:sz w:val="16"/>
        <w:szCs w:val="16"/>
      </w:rPr>
      <w:fldChar w:fldCharType="separate"/>
    </w:r>
    <w:r w:rsidR="00934BA3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FC8F6" w14:textId="77777777" w:rsidR="00E760B0" w:rsidRDefault="00E760B0">
      <w:r>
        <w:separator/>
      </w:r>
    </w:p>
  </w:footnote>
  <w:footnote w:type="continuationSeparator" w:id="0">
    <w:p w14:paraId="49AB4D56" w14:textId="77777777" w:rsidR="00E760B0" w:rsidRDefault="00E76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40406" w14:textId="77777777" w:rsidR="00CD4BC0" w:rsidRDefault="00000000">
    <w:pPr>
      <w:pBdr>
        <w:bottom w:val="single" w:sz="4" w:space="0" w:color="1F3864"/>
      </w:pBdr>
      <w:jc w:val="right"/>
    </w:pPr>
    <w:r>
      <w:rPr>
        <w:color w:val="44546A"/>
        <w:sz w:val="16"/>
        <w:szCs w:val="16"/>
      </w:rPr>
      <w:t>WISP · Infraestructura — Entregable 3: Diseño de Centro de Datos (C3.1)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76E94"/>
    <w:multiLevelType w:val="hybridMultilevel"/>
    <w:tmpl w:val="074E78AC"/>
    <w:lvl w:ilvl="0" w:tplc="C18EDA52">
      <w:start w:val="1"/>
      <w:numFmt w:val="bullet"/>
      <w:lvlText w:val="•"/>
      <w:lvlJc w:val="left"/>
      <w:pPr>
        <w:ind w:left="460" w:hanging="260"/>
      </w:pPr>
      <w:rPr>
        <w:color w:val="C55A11"/>
      </w:rPr>
    </w:lvl>
    <w:lvl w:ilvl="1" w:tplc="2338A46A">
      <w:numFmt w:val="decimal"/>
      <w:lvlText w:val=""/>
      <w:lvlJc w:val="left"/>
    </w:lvl>
    <w:lvl w:ilvl="2" w:tplc="12E64A30">
      <w:numFmt w:val="decimal"/>
      <w:lvlText w:val=""/>
      <w:lvlJc w:val="left"/>
    </w:lvl>
    <w:lvl w:ilvl="3" w:tplc="657CAFCC">
      <w:numFmt w:val="decimal"/>
      <w:lvlText w:val=""/>
      <w:lvlJc w:val="left"/>
    </w:lvl>
    <w:lvl w:ilvl="4" w:tplc="A36017AA">
      <w:numFmt w:val="decimal"/>
      <w:lvlText w:val=""/>
      <w:lvlJc w:val="left"/>
    </w:lvl>
    <w:lvl w:ilvl="5" w:tplc="13064BDC">
      <w:numFmt w:val="decimal"/>
      <w:lvlText w:val=""/>
      <w:lvlJc w:val="left"/>
    </w:lvl>
    <w:lvl w:ilvl="6" w:tplc="C8502CB0">
      <w:numFmt w:val="decimal"/>
      <w:lvlText w:val=""/>
      <w:lvlJc w:val="left"/>
    </w:lvl>
    <w:lvl w:ilvl="7" w:tplc="EA266628">
      <w:numFmt w:val="decimal"/>
      <w:lvlText w:val=""/>
      <w:lvlJc w:val="left"/>
    </w:lvl>
    <w:lvl w:ilvl="8" w:tplc="62AAA314">
      <w:numFmt w:val="decimal"/>
      <w:lvlText w:val=""/>
      <w:lvlJc w:val="left"/>
    </w:lvl>
  </w:abstractNum>
  <w:abstractNum w:abstractNumId="1" w15:restartNumberingAfterBreak="0">
    <w:nsid w:val="6FEB4A99"/>
    <w:multiLevelType w:val="hybridMultilevel"/>
    <w:tmpl w:val="2BEE95E0"/>
    <w:lvl w:ilvl="0" w:tplc="5050832C">
      <w:start w:val="1"/>
      <w:numFmt w:val="bullet"/>
      <w:lvlText w:val="●"/>
      <w:lvlJc w:val="left"/>
      <w:pPr>
        <w:ind w:left="720" w:hanging="360"/>
      </w:pPr>
    </w:lvl>
    <w:lvl w:ilvl="1" w:tplc="92AA1A5C">
      <w:start w:val="1"/>
      <w:numFmt w:val="bullet"/>
      <w:lvlText w:val="○"/>
      <w:lvlJc w:val="left"/>
      <w:pPr>
        <w:ind w:left="1440" w:hanging="360"/>
      </w:pPr>
    </w:lvl>
    <w:lvl w:ilvl="2" w:tplc="8D2A06D6">
      <w:start w:val="1"/>
      <w:numFmt w:val="bullet"/>
      <w:lvlText w:val="■"/>
      <w:lvlJc w:val="left"/>
      <w:pPr>
        <w:ind w:left="2160" w:hanging="360"/>
      </w:pPr>
    </w:lvl>
    <w:lvl w:ilvl="3" w:tplc="980EECD6">
      <w:start w:val="1"/>
      <w:numFmt w:val="bullet"/>
      <w:lvlText w:val="●"/>
      <w:lvlJc w:val="left"/>
      <w:pPr>
        <w:ind w:left="2880" w:hanging="360"/>
      </w:pPr>
    </w:lvl>
    <w:lvl w:ilvl="4" w:tplc="55C01DB2">
      <w:start w:val="1"/>
      <w:numFmt w:val="bullet"/>
      <w:lvlText w:val="○"/>
      <w:lvlJc w:val="left"/>
      <w:pPr>
        <w:ind w:left="3600" w:hanging="360"/>
      </w:pPr>
    </w:lvl>
    <w:lvl w:ilvl="5" w:tplc="8DE4C6BA">
      <w:start w:val="1"/>
      <w:numFmt w:val="bullet"/>
      <w:lvlText w:val="■"/>
      <w:lvlJc w:val="left"/>
      <w:pPr>
        <w:ind w:left="4320" w:hanging="360"/>
      </w:pPr>
    </w:lvl>
    <w:lvl w:ilvl="6" w:tplc="7D12B36E">
      <w:start w:val="1"/>
      <w:numFmt w:val="bullet"/>
      <w:lvlText w:val="●"/>
      <w:lvlJc w:val="left"/>
      <w:pPr>
        <w:ind w:left="5040" w:hanging="360"/>
      </w:pPr>
    </w:lvl>
    <w:lvl w:ilvl="7" w:tplc="095EB95E">
      <w:start w:val="1"/>
      <w:numFmt w:val="bullet"/>
      <w:lvlText w:val="●"/>
      <w:lvlJc w:val="left"/>
      <w:pPr>
        <w:ind w:left="5760" w:hanging="360"/>
      </w:pPr>
    </w:lvl>
    <w:lvl w:ilvl="8" w:tplc="C0E21CBC">
      <w:start w:val="1"/>
      <w:numFmt w:val="bullet"/>
      <w:lvlText w:val="●"/>
      <w:lvlJc w:val="left"/>
      <w:pPr>
        <w:ind w:left="6480" w:hanging="360"/>
      </w:pPr>
    </w:lvl>
  </w:abstractNum>
  <w:num w:numId="1" w16cid:durableId="1515925729">
    <w:abstractNumId w:val="1"/>
    <w:lvlOverride w:ilvl="0">
      <w:startOverride w:val="1"/>
    </w:lvlOverride>
  </w:num>
  <w:num w:numId="2" w16cid:durableId="982005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BC0"/>
    <w:rsid w:val="00212664"/>
    <w:rsid w:val="00934BA3"/>
    <w:rsid w:val="00CD4BC0"/>
    <w:rsid w:val="00E7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07069"/>
  <w15:docId w15:val="{8536B252-2C29-4993-8088-1933068B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34B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4BA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34B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2196</Words>
  <Characters>12078</Characters>
  <Application>Microsoft Office Word</Application>
  <DocSecurity>0</DocSecurity>
  <Lines>100</Lines>
  <Paragraphs>28</Paragraphs>
  <ScaleCrop>false</ScaleCrop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Centro de Datos C3.1 - WISP</dc:title>
  <dc:creator>WISP - Proyecto Fin de Carrera</dc:creator>
  <cp:lastModifiedBy>CRISTIAN</cp:lastModifiedBy>
  <cp:revision>1</cp:revision>
  <dcterms:created xsi:type="dcterms:W3CDTF">2026-07-07T03:09:00Z</dcterms:created>
  <dcterms:modified xsi:type="dcterms:W3CDTF">2026-07-07T03:26:00Z</dcterms:modified>
</cp:coreProperties>
</file>