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80"/>
        <w:jc w:val="center"/>
      </w:pPr>
      <w:r>
        <w:rPr>
          <w:rFonts w:ascii="Arial" w:cs="Arial" w:eastAsia="Arial" w:hAnsi="Arial"/>
          <w:b/>
          <w:bCs/>
          <w:color w:val="1F3864"/>
          <w:sz w:val="48"/>
          <w:szCs w:val="48"/>
        </w:rPr>
        <w:t xml:space="preserve">PROYECTO DE GOBIERNO DE TECNOLOGÍAS DE INFORMACIÓN</w:t>
      </w:r>
    </w:p>
    <w:p>
      <w:pPr>
        <w:spacing w:after="400" w:before="0"/>
        <w:jc w:val="center"/>
      </w:pPr>
      <w:r>
        <w:rPr>
          <w:rFonts w:ascii="Arial" w:cs="Arial" w:eastAsia="Arial" w:hAnsi="Arial"/>
          <w:b/>
          <w:bCs/>
          <w:color w:val="2E5FA3"/>
          <w:sz w:val="64"/>
          <w:szCs w:val="64"/>
        </w:rPr>
        <w:t xml:space="preserve">COBIT 2019</w:t>
      </w:r>
    </w:p>
    <w:p>
      <w:pPr>
        <w:shd w:fill="1F3864" w:val="clear"/>
        <w:spacing w:after="0" w:before="0"/>
        <w:ind w:left="720" w:right="720"/>
        <w:jc w:val="center"/>
      </w:pPr>
      <w:r>
        <w:rPr>
          <w:rFonts w:ascii="Arial" w:cs="Arial" w:eastAsia="Arial" w:hAnsi="Arial"/>
          <w:b/>
          <w:bCs/>
          <w:color w:val="FFFFFF"/>
          <w:sz w:val="32"/>
          <w:szCs w:val="32"/>
        </w:rPr>
        <w:t xml:space="preserve">BANCO CENTRAL DE RESERVA DEL PERÚ – BCRP</w:t>
      </w:r>
    </w:p>
    <w:p>
      <w:pPr>
        <w:shd w:fill="2E5FA3" w:val="clear"/>
        <w:spacing w:after="480" w:before="0"/>
        <w:ind w:left="720" w:right="720"/>
        <w:jc w:val="center"/>
      </w:pPr>
      <w:r>
        <w:rPr>
          <w:rFonts w:ascii="Arial" w:cs="Arial" w:eastAsia="Arial" w:hAnsi="Arial"/>
          <w:color w:val="FFFFFF"/>
          <w:sz w:val="24"/>
          <w:szCs w:val="24"/>
        </w:rPr>
        <w:t xml:space="preserve">Gerencia de Tecnologías de Información (GTI)</w:t>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Ciclo de Vida</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Implementación COBIT 2019 – Fases 1, 2, 3 y 4</w:t>
            </w:r>
          </w:p>
        </w:tc>
      </w:tr>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Entidad</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Banco Central de Reserva del Perú – BCRP</w:t>
            </w:r>
          </w:p>
        </w:tc>
      </w:tr>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Marco</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COBIT 2019 – ISACA</w:t>
            </w:r>
          </w:p>
        </w:tc>
      </w:tr>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Responsable</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Grupo PL – GTI</w:t>
            </w:r>
          </w:p>
        </w:tc>
      </w:tr>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Versión</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v2.0</w:t>
            </w:r>
          </w:p>
        </w:tc>
      </w:tr>
      <w:t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Fecha</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Mayo 2026</w:t>
            </w:r>
          </w:p>
        </w:tc>
      </w:tr>
    </w:tbl>
    <w:p>
      <w:pPr>
        <w:spacing w:after="60" w:before="60"/>
      </w:pPr>
      <w:r>
        <w:t xml:space="preserve"/>
      </w:r>
    </w:p>
    <w:p>
      <w:pPr>
        <w:spacing w:after="60" w:before="60"/>
      </w:pPr>
      <w:r>
        <w:t xml:space="preserve"/>
      </w:r>
    </w:p>
    <w:p>
      <w:r>
        <w:br w:type="page"/>
      </w:r>
    </w:p>
    <w:p>
      <w:pPr>
        <w:shd w:fill="1F3864" w:val="clear"/>
        <w:spacing w:after="140" w:before="280"/>
        <w:ind w:left="160" w:right="160"/>
      </w:pPr>
      <w:r>
        <w:rPr>
          <w:rFonts w:ascii="Arial" w:cs="Arial" w:eastAsia="Arial" w:hAnsi="Arial"/>
          <w:b/>
          <w:bCs/>
          <w:color w:val="FFFFFF"/>
          <w:sz w:val="28"/>
          <w:szCs w:val="28"/>
        </w:rPr>
        <w:t xml:space="preserve">FASE 1: ¿CUÁLES SON LOS IMPULSORES?</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1. INICIO DEL PROYECTO</w:t>
      </w:r>
    </w:p>
    <w:p>
      <w:pPr>
        <w:spacing w:after="60" w:before="60"/>
      </w:pPr>
      <w:r>
        <w:t xml:space="preserve"/>
      </w:r>
    </w:p>
    <w:p>
      <w:pPr>
        <w:spacing w:after="60" w:before="60"/>
        <w:jc w:val="both"/>
      </w:pPr>
      <w:r>
        <w:rPr>
          <w:rFonts w:ascii="Arial" w:cs="Arial" w:eastAsia="Arial" w:hAnsi="Arial"/>
          <w:b/>
          <w:bCs/>
          <w:sz w:val="20"/>
          <w:szCs w:val="20"/>
        </w:rPr>
        <w:t xml:space="preserve">Acta de inicio del proyecto: </w:t>
      </w:r>
      <w:r>
        <w:rPr>
          <w:rFonts w:ascii="Arial" w:cs="Arial" w:eastAsia="Arial" w:hAnsi="Arial"/>
          <w:sz w:val="20"/>
          <w:szCs w:val="20"/>
        </w:rPr>
        <w:t xml:space="preserve">Implementación del Gobierno de TI basado en COBIT 2019 para el Banco Central de Reserva del Perú (BCRP), con sede principal en Lima, orientado a garantizar que la Tecnología de Información soporte la misión constitucional de preservar la estabilidad monetaria del país (PETI BCRP 2022–2026, pp. 1-5).</w:t>
      </w:r>
    </w:p>
    <w:p>
      <w:pPr>
        <w:spacing w:after="60" w:before="60"/>
      </w:pPr>
      <w:r>
        <w:t xml:space="preserve"/>
      </w:r>
    </w:p>
    <w:p>
      <w:pPr>
        <w:spacing w:after="60" w:before="60"/>
        <w:jc w:val="both"/>
      </w:pPr>
      <w:r>
        <w:rPr>
          <w:rFonts w:ascii="Arial" w:cs="Arial" w:eastAsia="Arial" w:hAnsi="Arial"/>
          <w:b/>
          <w:bCs/>
          <w:sz w:val="20"/>
          <w:szCs w:val="20"/>
        </w:rPr>
        <w:t xml:space="preserve">Diagnóstico inicial: </w:t>
      </w:r>
      <w:r>
        <w:rPr>
          <w:rFonts w:ascii="Arial" w:cs="Arial" w:eastAsia="Arial" w:hAnsi="Arial"/>
          <w:sz w:val="20"/>
          <w:szCs w:val="20"/>
        </w:rPr>
        <w:t xml:space="preserve">El BCRP opera sistemas tecnológicos críticos (LBTR, SIMC, SWIFT) con infraestructura que presenta brechas de modernización, redundancia insuficiente y capacidades limitadas de ciberseguridad activa, lo que genera un riesgo operativo significativo para el cumplimiento de la misión constitucional del Banco. Adicionalmente, las capacidades de análisis de grandes datos (big data e IA) y las herramientas colaborativas no están completamente desplegadas, limitando la innovación y la eficiencia de las gerencias misionales (PETI BCRP, pp. 8-12, Cuadro de Capacidades).</w:t>
      </w:r>
    </w:p>
    <w:p>
      <w:pPr>
        <w:spacing w:after="60" w:before="60"/>
      </w:pPr>
      <w:r>
        <w:t xml:space="preserve"/>
      </w:r>
    </w:p>
    <w:p>
      <w:pPr>
        <w:spacing w:after="60" w:before="60"/>
        <w:jc w:val="both"/>
      </w:pPr>
      <w:r>
        <w:rPr>
          <w:rFonts w:ascii="Arial" w:cs="Arial" w:eastAsia="Arial" w:hAnsi="Arial"/>
          <w:b/>
          <w:bCs/>
          <w:sz w:val="20"/>
          <w:szCs w:val="20"/>
        </w:rPr>
        <w:t xml:space="preserve">Objetivo general: </w:t>
      </w:r>
      <w:r>
        <w:rPr>
          <w:rFonts w:ascii="Arial" w:cs="Arial" w:eastAsia="Arial" w:hAnsi="Arial"/>
          <w:sz w:val="20"/>
          <w:szCs w:val="20"/>
        </w:rPr>
        <w:t xml:space="preserve">Implementar un Sistema de Gobierno de Tecnologías de Información en el Banco Central de Reserva del Perú, alineado con COBIT 2019, que permita garantizar que la TI genere valor y soporte la misión constitucional del BCRP, controlar los riesgos tecnológicos en sistemas críticos de pagos y ciberseguridad, asegurar el uso eficiente de los recursos tecnológicos e inversiones TI, y materializar los proyectos del PETI 2022–2026 con una gobernanza estructurada y medible.</w:t>
      </w:r>
    </w:p>
    <w:p>
      <w:pPr>
        <w:spacing w:after="60" w:before="60"/>
      </w:pPr>
      <w:r>
        <w:t xml:space="preserve"/>
      </w:r>
    </w:p>
    <w:p>
      <w:pPr>
        <w:spacing w:after="60" w:before="60"/>
        <w:jc w:val="both"/>
      </w:pPr>
      <w:r>
        <w:rPr>
          <w:rFonts w:ascii="Arial" w:cs="Arial" w:eastAsia="Arial" w:hAnsi="Arial"/>
          <w:sz w:val="20"/>
          <w:szCs w:val="20"/>
        </w:rPr>
        <w:t xml:space="preserve">Este objetivo está directamente relacionado con los siguientes objetivos institucionales del Plan Estratégico BCRP 2022–2026:</w:t>
      </w:r>
    </w:p>
    <w:p>
      <w:pPr>
        <w:pStyle w:val="ListParagraph"/>
        <w:numPr>
          <w:ilvl w:val="0"/>
          <w:numId w:val="2"/>
        </w:numPr>
        <w:spacing w:after="40" w:before="40"/>
      </w:pPr>
      <w:r>
        <w:rPr>
          <w:rFonts w:ascii="Arial" w:cs="Arial" w:eastAsia="Arial" w:hAnsi="Arial"/>
          <w:sz w:val="20"/>
          <w:szCs w:val="20"/>
        </w:rPr>
        <w:t xml:space="preserve">OE4: Promover la estabilidad financiera y sistemas de pagos eficientes y competitivos → Modernización LBTR y SIMC.</w:t>
      </w:r>
    </w:p>
    <w:p>
      <w:pPr>
        <w:pStyle w:val="ListParagraph"/>
        <w:numPr>
          <w:ilvl w:val="0"/>
          <w:numId w:val="2"/>
        </w:numPr>
        <w:spacing w:after="40" w:before="40"/>
      </w:pPr>
      <w:r>
        <w:rPr>
          <w:rFonts w:ascii="Arial" w:cs="Arial" w:eastAsia="Arial" w:hAnsi="Arial"/>
          <w:sz w:val="20"/>
          <w:szCs w:val="20"/>
        </w:rPr>
        <w:t xml:space="preserve">OE10: Contar con desarrollos informáticos y servicios de tecnologías que impulsen la innovación → Tercer data center, ciberseguridad, herramientas colaborativas.</w:t>
      </w:r>
    </w:p>
    <w:p>
      <w:pPr>
        <w:pStyle w:val="ListParagraph"/>
        <w:numPr>
          <w:ilvl w:val="0"/>
          <w:numId w:val="2"/>
        </w:numPr>
        <w:spacing w:after="40" w:before="40"/>
      </w:pPr>
      <w:r>
        <w:rPr>
          <w:rFonts w:ascii="Arial" w:cs="Arial" w:eastAsia="Arial" w:hAnsi="Arial"/>
          <w:sz w:val="20"/>
          <w:szCs w:val="20"/>
        </w:rPr>
        <w:t xml:space="preserve">OE14: Desplegar la gestión de riesgos a todos los procesos del Banco → Gobierno de TI, control interno, riesgos tecnológicos.</w:t>
      </w:r>
    </w:p>
    <w:p>
      <w:pPr>
        <w:pStyle w:val="ListParagraph"/>
        <w:numPr>
          <w:ilvl w:val="0"/>
          <w:numId w:val="2"/>
        </w:numPr>
        <w:spacing w:after="40" w:before="40"/>
      </w:pPr>
      <w:r>
        <w:rPr>
          <w:rFonts w:ascii="Arial" w:cs="Arial" w:eastAsia="Arial" w:hAnsi="Arial"/>
          <w:sz w:val="20"/>
          <w:szCs w:val="20"/>
        </w:rPr>
        <w:t xml:space="preserve">OE1: Mantener la inflación en el rango meta → Modelos de proyección con big data e IA.</w:t>
      </w:r>
    </w:p>
    <w:p>
      <w:pPr>
        <w:pStyle w:val="ListParagraph"/>
        <w:numPr>
          <w:ilvl w:val="0"/>
          <w:numId w:val="2"/>
        </w:numPr>
        <w:spacing w:after="40" w:before="40"/>
      </w:pPr>
      <w:r>
        <w:rPr>
          <w:rFonts w:ascii="Arial" w:cs="Arial" w:eastAsia="Arial" w:hAnsi="Arial"/>
          <w:sz w:val="20"/>
          <w:szCs w:val="20"/>
        </w:rPr>
        <w:t xml:space="preserve">OE9: Crear condiciones para atraer y retener talento profesional → Intranet colaborativa, gestión del conocimiento.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Áreas de Apoyo a la Dirección</w:t>
      </w:r>
    </w:p>
    <w:p>
      <w:pPr>
        <w:pStyle w:val="ListParagraph"/>
        <w:numPr>
          <w:ilvl w:val="0"/>
          <w:numId w:val="2"/>
        </w:numPr>
        <w:spacing w:after="40" w:before="40"/>
      </w:pPr>
      <w:r>
        <w:rPr>
          <w:rFonts w:ascii="Arial" w:cs="Arial" w:eastAsia="Arial" w:hAnsi="Arial"/>
          <w:sz w:val="20"/>
          <w:szCs w:val="20"/>
        </w:rPr>
        <w:t xml:space="preserve">Directorio del BCRP.</w:t>
      </w:r>
    </w:p>
    <w:p>
      <w:pPr>
        <w:pStyle w:val="ListParagraph"/>
        <w:numPr>
          <w:ilvl w:val="0"/>
          <w:numId w:val="2"/>
        </w:numPr>
        <w:spacing w:after="40" w:before="40"/>
      </w:pPr>
      <w:r>
        <w:rPr>
          <w:rFonts w:ascii="Arial" w:cs="Arial" w:eastAsia="Arial" w:hAnsi="Arial"/>
          <w:sz w:val="20"/>
          <w:szCs w:val="20"/>
        </w:rPr>
        <w:t xml:space="preserve">Gerencia General.</w:t>
      </w:r>
    </w:p>
    <w:p>
      <w:pPr>
        <w:pStyle w:val="ListParagraph"/>
        <w:numPr>
          <w:ilvl w:val="0"/>
          <w:numId w:val="2"/>
        </w:numPr>
        <w:spacing w:after="40" w:before="40"/>
      </w:pPr>
      <w:r>
        <w:rPr>
          <w:rFonts w:ascii="Arial" w:cs="Arial" w:eastAsia="Arial" w:hAnsi="Arial"/>
          <w:sz w:val="20"/>
          <w:szCs w:val="20"/>
        </w:rPr>
        <w:t xml:space="preserve">Gerencia de Tecnologías de Información (GTI – CIO).</w:t>
      </w:r>
    </w:p>
    <w:p>
      <w:pPr>
        <w:pStyle w:val="ListParagraph"/>
        <w:numPr>
          <w:ilvl w:val="0"/>
          <w:numId w:val="2"/>
        </w:numPr>
        <w:spacing w:after="40" w:before="40"/>
      </w:pPr>
      <w:r>
        <w:rPr>
          <w:rFonts w:ascii="Arial" w:cs="Arial" w:eastAsia="Arial" w:hAnsi="Arial"/>
          <w:sz w:val="20"/>
          <w:szCs w:val="20"/>
        </w:rPr>
        <w:t xml:space="preserve">Gerencia de Operaciones Monetarias y Estabilidad Financiera (GOMEF).</w:t>
      </w:r>
    </w:p>
    <w:p>
      <w:pPr>
        <w:pStyle w:val="ListParagraph"/>
        <w:numPr>
          <w:ilvl w:val="0"/>
          <w:numId w:val="2"/>
        </w:numPr>
        <w:spacing w:after="40" w:before="40"/>
      </w:pPr>
      <w:r>
        <w:rPr>
          <w:rFonts w:ascii="Arial" w:cs="Arial" w:eastAsia="Arial" w:hAnsi="Arial"/>
          <w:sz w:val="20"/>
          <w:szCs w:val="20"/>
        </w:rPr>
        <w:t xml:space="preserve">Gerencia de Riesgos.</w:t>
      </w:r>
    </w:p>
    <w:p>
      <w:pPr>
        <w:pStyle w:val="ListParagraph"/>
        <w:numPr>
          <w:ilvl w:val="0"/>
          <w:numId w:val="2"/>
        </w:numPr>
        <w:spacing w:after="40" w:before="40"/>
      </w:pPr>
      <w:r>
        <w:rPr>
          <w:rFonts w:ascii="Arial" w:cs="Arial" w:eastAsia="Arial" w:hAnsi="Arial"/>
          <w:sz w:val="20"/>
          <w:szCs w:val="20"/>
        </w:rPr>
        <w:t xml:space="preserve">Auditoría Interna.</w:t>
      </w:r>
    </w:p>
    <w:p>
      <w:pPr>
        <w:spacing w:after="60" w:before="60"/>
        <w:jc w:val="both"/>
      </w:pPr>
      <w:r>
        <w:rPr>
          <w:rFonts w:ascii="Arial" w:cs="Arial" w:eastAsia="Arial" w:hAnsi="Arial"/>
          <w:sz w:val="20"/>
          <w:szCs w:val="20"/>
        </w:rPr>
        <w:t xml:space="preserve">El compromiso institucional formal para implementar el Gobierno de TI comprende todas las gerencias misionales y de soporte del BCRP que dependen de servicios TI críticos, conforme al alcance definido en el PETI 2022–2026.</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Comité de Gobierno de TI – BCRP (Nivel Estratégico – Dominio EDM)</w:t>
      </w:r>
    </w:p>
    <w:p>
      <w:pPr>
        <w:spacing w:after="60" w:before="60"/>
        <w:jc w:val="both"/>
      </w:pPr>
      <w:r>
        <w:rPr>
          <w:rFonts w:ascii="Arial" w:cs="Arial" w:eastAsia="Arial" w:hAnsi="Arial"/>
          <w:sz w:val="20"/>
          <w:szCs w:val="20"/>
        </w:rPr>
        <w:t xml:space="preserve">El Comité de Gobierno (Nivel Estratégico) se ubica en el dominio EDM de COBIT 2019. Su enfoque es la visión macro y los resultados de negocio. Lo integran la alta dirección y los directores de áreas (stakeholders), con la función de evaluar estrategias, dar la dirección para aprobar políticas, presupuesto y monitorear el cumplimiento de plazos y beneficios esperados.</w:t>
      </w:r>
    </w:p>
    <w:p>
      <w:pPr>
        <w:spacing w:after="60" w:before="60"/>
      </w:pPr>
      <w:r>
        <w:t xml:space="preserve"/>
      </w:r>
    </w:p>
    <w:p>
      <w:pPr>
        <w:spacing w:after="60" w:before="60"/>
        <w:jc w:val="both"/>
      </w:pPr>
      <w:r>
        <w:rPr>
          <w:rFonts w:ascii="Arial" w:cs="Arial" w:eastAsia="Arial" w:hAnsi="Arial"/>
          <w:sz w:val="20"/>
          <w:szCs w:val="20"/>
        </w:rPr>
        <w:t xml:space="preserve">El Comité de Gobierno se conforma de acuerdo con el Decreto Legislativo N° 1412 – Ley de Gobierno Digital y su Reglamento (D.S. N° 029-2021-PCM). El Artículo 4° del reglamento establece que las entidades públicas deben conformar un Comité de Gobierno Digital presidido por el máximo funcionario ejecutivo, integrado por los responsables de las áreas estratégicas, con la función de aprobar lineamientos, supervisar la transformación digital y monitorear el cumplimiento de objetivos tecnológicos institucionales. En el caso del BCRP, institución autónoma con régimen especial (Art. 84° de la Constitución), este Comité se adapta al marco del Banco de Pagos Internacionales (BIS) sobre gobierno de tecnología en banca central, siendo presidido por la Gerencia General con participación del Directorio.</w:t>
      </w:r>
    </w:p>
    <w:p>
      <w:pPr>
        <w:spacing w:after="60" w:before="60"/>
      </w:pPr>
      <w:r>
        <w:t xml:space="preserve"/>
      </w:r>
    </w:p>
    <w:p>
      <w:pPr>
        <w:spacing w:after="60" w:before="60"/>
        <w:jc w:val="both"/>
      </w:pPr>
      <w:r>
        <w:rPr>
          <w:rFonts w:ascii="Arial" w:cs="Arial" w:eastAsia="Arial" w:hAnsi="Arial"/>
          <w:sz w:val="20"/>
          <w:szCs w:val="20"/>
        </w:rPr>
        <w:t xml:space="preserve">Organigrama del Comité de Gobierno de TI – BCRP: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 EN EL PROYECTO</w:t>
            </w:r>
          </w:p>
        </w:tc>
        <w:tc>
          <w:tcPr>
            <w:tcW w:type="dxa" w:w="5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CARGO EN EL BCRP</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Patrocinador</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Gerente General del BCRP – Presidente del Comité</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Líder del Proyecto</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Gerente de Tecnologías de Información (GTI – CIO) – Secretario Técnico</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Representante del Negocio</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Gerente de Operaciones Monetarias y Estabilidad Financiera / Gerente de Estudios Económicos</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Representante Operativo</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Gerente de Reservas Internacionales / Gerente de Sistemas de Pagos</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Control</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Jefe de Auditoría Interna</w:t>
            </w:r>
          </w:p>
        </w:tc>
      </w:tr>
    </w:tbl>
    <w:p>
      <w:pPr>
        <w:spacing w:after="60" w:before="60"/>
      </w:pPr>
      <w:r>
        <w:t xml:space="preserve"/>
      </w:r>
    </w:p>
    <w:p>
      <w:pPr>
        <w:spacing w:after="60" w:before="60"/>
        <w:jc w:val="both"/>
      </w:pPr>
      <w:r>
        <w:rPr>
          <w:rFonts w:ascii="Arial" w:cs="Arial" w:eastAsia="Arial" w:hAnsi="Arial"/>
          <w:sz w:val="20"/>
          <w:szCs w:val="20"/>
        </w:rPr>
        <w:t xml:space="preserve">La Gerencia General preside el Comité porque es el máximo nivel ejecutivo del BCRP y su participación es esencial para garantizar la alineación de TI con la misión constitucional. La GTI actúa como secretaría técnica porque es el área responsable de la ejecución tecnológica y tiene el conocimiento especializado para sustentar las decisiones. Las gerencias misionales (GOMEF, Estudios, Reservas, Sistemas de Pagos) son esenciales porque dependen directamente de los sistemas críticos TI (LBTR, SIMC, SWIFT) y son las principales beneficiarias del gobierno de TI. Auditoría Interna garantiza el control y aseguramiento del gobierno corporativo tecnológico.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Equipo de Trabajo – BCRP (Nivel de Gestión – Dominios APO, BAI, DSS, MEA)</w:t>
      </w:r>
    </w:p>
    <w:p>
      <w:pPr>
        <w:spacing w:after="60" w:before="60"/>
        <w:jc w:val="both"/>
      </w:pPr>
      <w:r>
        <w:rPr>
          <w:rFonts w:ascii="Arial" w:cs="Arial" w:eastAsia="Arial" w:hAnsi="Arial"/>
          <w:sz w:val="20"/>
          <w:szCs w:val="20"/>
        </w:rPr>
        <w:t xml:space="preserve">El Equipo de Trabajo (Nivel de Gestión) se ubica en los dominios APO, BAI, DSS y MEA de COBIT 2019. Tiene un enfoque de ejecución y entrega de servicios. Lo integran el gerente de TI, líderes de proyectos, arquitectos, administradores y especialistas técnicos. Su función es planificar, construir, ejecutar y monitorear las actividades técnicas y operativas para cumplir con la dirección recibida del Comité de Gobierno.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 EN EL PROYECTO</w:t>
            </w:r>
          </w:p>
        </w:tc>
        <w:tc>
          <w:tcPr>
            <w:tcW w:type="dxa" w:w="5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CARGO / ÁREA EN EL BCRP</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Director de Gobierno de TI</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Gerente de Tecnologías de Información (GTI)</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Especialista en Riesgos TI</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Oficial de Riesgos / Seguridad de Información</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Especialista COBIT</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Consultor / Profesional certificado CGEIT</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Coordinador de Proyectos TI</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Jefe de Proyectos GTI – Portafolio PETI 2022-2026</w:t>
            </w:r>
          </w:p>
        </w:tc>
      </w:tr>
      <w:tr>
        <w:tc>
          <w:tcPr>
            <w:tcW w:type="dxa" w:w="3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Representante de RRHH</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Recursos Humanos – Gestión del cambio y talento TI</w:t>
            </w:r>
          </w:p>
        </w:tc>
      </w:tr>
    </w:tbl>
    <w:p>
      <w:pPr>
        <w:spacing w:after="60" w:before="60"/>
      </w:pPr>
      <w:r>
        <w:t xml:space="preserve"/>
      </w:r>
    </w:p>
    <w:p>
      <w:pPr>
        <w:spacing w:after="60" w:before="60"/>
        <w:jc w:val="both"/>
      </w:pPr>
      <w:r>
        <w:rPr>
          <w:rFonts w:ascii="Arial" w:cs="Arial" w:eastAsia="Arial" w:hAnsi="Arial"/>
          <w:sz w:val="20"/>
          <w:szCs w:val="20"/>
        </w:rPr>
        <w:t xml:space="preserve">Los equipos de trabajo se conforman de acuerdo al ROF, MOF y normas internas del BCRP, que determinan las áreas y funciones de cada integrante. El Reglamento de Organización y Funciones del BCRP establece las responsabilidades de la GTI como área estratégica de soporte a los procesos misionales del Banco.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Resultados de la Fase de Inicio</w:t>
      </w:r>
    </w:p>
    <w:p>
      <w:pPr>
        <w:pStyle w:val="ListParagraph"/>
        <w:numPr>
          <w:ilvl w:val="0"/>
          <w:numId w:val="2"/>
        </w:numPr>
        <w:spacing w:after="40" w:before="40"/>
      </w:pPr>
      <w:r>
        <w:rPr>
          <w:rFonts w:ascii="Arial" w:cs="Arial" w:eastAsia="Arial" w:hAnsi="Arial"/>
          <w:sz w:val="20"/>
          <w:szCs w:val="20"/>
        </w:rPr>
        <w:t xml:space="preserve">Equipo definido y formalizado mediante Resolución Interna (PETI 2022-2026, Sección 1).</w:t>
      </w:r>
    </w:p>
    <w:p>
      <w:pPr>
        <w:pStyle w:val="ListParagraph"/>
        <w:numPr>
          <w:ilvl w:val="0"/>
          <w:numId w:val="2"/>
        </w:numPr>
        <w:spacing w:after="40" w:before="40"/>
      </w:pPr>
      <w:r>
        <w:rPr>
          <w:rFonts w:ascii="Arial" w:cs="Arial" w:eastAsia="Arial" w:hAnsi="Arial"/>
          <w:sz w:val="20"/>
          <w:szCs w:val="20"/>
        </w:rPr>
        <w:t xml:space="preserve">Compromiso presupuestal institucional asegurado a través del Plan Operativo Anual y la autonomía presupuestal del BCRP (Art. 86° Ley Orgánica).</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2. IDENTIFICACIÓN DE LOS IMPULSORES (PROBLEMAS DEL NEGOCIO)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¿Qué no está funcionando? – Problema</w:t>
      </w:r>
    </w:p>
    <w:p>
      <w:pPr>
        <w:pStyle w:val="ListParagraph"/>
        <w:numPr>
          <w:ilvl w:val="0"/>
          <w:numId w:val="2"/>
        </w:numPr>
        <w:spacing w:after="40" w:before="40"/>
      </w:pPr>
      <w:r>
        <w:rPr>
          <w:rFonts w:ascii="Arial" w:cs="Arial" w:eastAsia="Arial" w:hAnsi="Arial"/>
          <w:sz w:val="20"/>
          <w:szCs w:val="20"/>
        </w:rPr>
        <w:t xml:space="preserve">Sistema LBTR con tecnología que requiere renovación urgente (riesgo de continuidad en pagos interbancarios críticos).</w:t>
      </w:r>
    </w:p>
    <w:p>
      <w:pPr>
        <w:pStyle w:val="ListParagraph"/>
        <w:numPr>
          <w:ilvl w:val="0"/>
          <w:numId w:val="2"/>
        </w:numPr>
        <w:spacing w:after="40" w:before="40"/>
      </w:pPr>
      <w:r>
        <w:rPr>
          <w:rFonts w:ascii="Arial" w:cs="Arial" w:eastAsia="Arial" w:hAnsi="Arial"/>
          <w:sz w:val="20"/>
          <w:szCs w:val="20"/>
        </w:rPr>
        <w:t xml:space="preserve">Ausencia de tercer centro de datos – solo dos data centers activos; riesgo de indisponibilidad total ante falla simultánea.</w:t>
      </w:r>
    </w:p>
    <w:p>
      <w:pPr>
        <w:pStyle w:val="ListParagraph"/>
        <w:numPr>
          <w:ilvl w:val="0"/>
          <w:numId w:val="2"/>
        </w:numPr>
        <w:spacing w:after="40" w:before="40"/>
      </w:pPr>
      <w:r>
        <w:rPr>
          <w:rFonts w:ascii="Arial" w:cs="Arial" w:eastAsia="Arial" w:hAnsi="Arial"/>
          <w:sz w:val="20"/>
          <w:szCs w:val="20"/>
        </w:rPr>
        <w:t xml:space="preserve">Capacidades limitadas de ciberseguridad ante ataques sofisticados (APT, ransomware, ataques SWIFT).</w:t>
      </w:r>
    </w:p>
    <w:p>
      <w:pPr>
        <w:pStyle w:val="ListParagraph"/>
        <w:numPr>
          <w:ilvl w:val="0"/>
          <w:numId w:val="2"/>
        </w:numPr>
        <w:spacing w:after="40" w:before="40"/>
      </w:pPr>
      <w:r>
        <w:rPr>
          <w:rFonts w:ascii="Arial" w:cs="Arial" w:eastAsia="Arial" w:hAnsi="Arial"/>
          <w:sz w:val="20"/>
          <w:szCs w:val="20"/>
        </w:rPr>
        <w:t xml:space="preserve">Integración limitada entre plataformas de datos estadísticos – bases sectoriales sin integración plena, dificulta la analítica macroeconómica en tiempo real.</w:t>
      </w:r>
    </w:p>
    <w:p>
      <w:pPr>
        <w:pStyle w:val="ListParagraph"/>
        <w:numPr>
          <w:ilvl w:val="0"/>
          <w:numId w:val="2"/>
        </w:numPr>
        <w:spacing w:after="40" w:before="40"/>
      </w:pPr>
      <w:r>
        <w:rPr>
          <w:rFonts w:ascii="Arial" w:cs="Arial" w:eastAsia="Arial" w:hAnsi="Arial"/>
          <w:sz w:val="20"/>
          <w:szCs w:val="20"/>
        </w:rPr>
        <w:t xml:space="preserve">Sistema SIMC (Instrumentos Monetarios) requiere modernización urgente.</w:t>
      </w:r>
    </w:p>
    <w:p>
      <w:pPr>
        <w:pStyle w:val="ListParagraph"/>
        <w:numPr>
          <w:ilvl w:val="0"/>
          <w:numId w:val="2"/>
        </w:numPr>
        <w:spacing w:after="40" w:before="40"/>
      </w:pPr>
      <w:r>
        <w:rPr>
          <w:rFonts w:ascii="Arial" w:cs="Arial" w:eastAsia="Arial" w:hAnsi="Arial"/>
          <w:sz w:val="20"/>
          <w:szCs w:val="20"/>
        </w:rPr>
        <w:t xml:space="preserve">Gestión del conocimiento no completamente digitalizada – GESCON básico; actas del Directorio no completamente digitalizadas.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¿Qué quiere mejorar la organización? – Necesidad</w:t>
      </w:r>
    </w:p>
    <w:p>
      <w:pPr>
        <w:pStyle w:val="ListParagraph"/>
        <w:numPr>
          <w:ilvl w:val="0"/>
          <w:numId w:val="2"/>
        </w:numPr>
        <w:spacing w:after="40" w:before="40"/>
      </w:pPr>
      <w:r>
        <w:rPr>
          <w:rFonts w:ascii="Arial" w:cs="Arial" w:eastAsia="Arial" w:hAnsi="Arial"/>
          <w:sz w:val="20"/>
          <w:szCs w:val="20"/>
        </w:rPr>
        <w:t xml:space="preserve">Modernizar el Sistema LBTR para garantizar la continuidad y seguridad de los pagos interbancarios del sistema financiero nacional.</w:t>
      </w:r>
    </w:p>
    <w:p>
      <w:pPr>
        <w:pStyle w:val="ListParagraph"/>
        <w:numPr>
          <w:ilvl w:val="0"/>
          <w:numId w:val="2"/>
        </w:numPr>
        <w:spacing w:after="40" w:before="40"/>
      </w:pPr>
      <w:r>
        <w:rPr>
          <w:rFonts w:ascii="Arial" w:cs="Arial" w:eastAsia="Arial" w:hAnsi="Arial"/>
          <w:sz w:val="20"/>
          <w:szCs w:val="20"/>
        </w:rPr>
        <w:t xml:space="preserve">Implementar el tercer data center para redundancia plena y continuidad operativa.</w:t>
      </w:r>
    </w:p>
    <w:p>
      <w:pPr>
        <w:pStyle w:val="ListParagraph"/>
        <w:numPr>
          <w:ilvl w:val="0"/>
          <w:numId w:val="2"/>
        </w:numPr>
        <w:spacing w:after="40" w:before="40"/>
      </w:pPr>
      <w:r>
        <w:rPr>
          <w:rFonts w:ascii="Arial" w:cs="Arial" w:eastAsia="Arial" w:hAnsi="Arial"/>
          <w:sz w:val="20"/>
          <w:szCs w:val="20"/>
        </w:rPr>
        <w:t xml:space="preserve">Fortalecer la ciberseguridad con defensa activa (HSM, MDM, VPN doble factor).</w:t>
      </w:r>
    </w:p>
    <w:p>
      <w:pPr>
        <w:pStyle w:val="ListParagraph"/>
        <w:numPr>
          <w:ilvl w:val="0"/>
          <w:numId w:val="2"/>
        </w:numPr>
        <w:spacing w:after="40" w:before="40"/>
      </w:pPr>
      <w:r>
        <w:rPr>
          <w:rFonts w:ascii="Arial" w:cs="Arial" w:eastAsia="Arial" w:hAnsi="Arial"/>
          <w:sz w:val="20"/>
          <w:szCs w:val="20"/>
        </w:rPr>
        <w:t xml:space="preserve">Expandir capacidades de big data e inteligencia artificial para política monetaria y reservas internacionales.</w:t>
      </w:r>
    </w:p>
    <w:p>
      <w:pPr>
        <w:pStyle w:val="ListParagraph"/>
        <w:numPr>
          <w:ilvl w:val="0"/>
          <w:numId w:val="2"/>
        </w:numPr>
        <w:spacing w:after="40" w:before="40"/>
      </w:pPr>
      <w:r>
        <w:rPr>
          <w:rFonts w:ascii="Arial" w:cs="Arial" w:eastAsia="Arial" w:hAnsi="Arial"/>
          <w:sz w:val="20"/>
          <w:szCs w:val="20"/>
        </w:rPr>
        <w:t xml:space="preserve">Desplegar completamente herramientas colaborativas (Office 365, Intranet) y gestión del conocimiento (GESCON).</w:t>
      </w:r>
    </w:p>
    <w:p>
      <w:pPr>
        <w:pStyle w:val="ListParagraph"/>
        <w:numPr>
          <w:ilvl w:val="0"/>
          <w:numId w:val="2"/>
        </w:numPr>
        <w:spacing w:after="40" w:before="40"/>
      </w:pPr>
      <w:r>
        <w:rPr>
          <w:rFonts w:ascii="Arial" w:cs="Arial" w:eastAsia="Arial" w:hAnsi="Arial"/>
          <w:sz w:val="20"/>
          <w:szCs w:val="20"/>
        </w:rPr>
        <w:t xml:space="preserve">Implementar Observatorio Tecnológico para CBDC e innovaciones en pagos.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¿Cuáles serían los inconvenientes o dificultades? – Riesgos</w:t>
      </w:r>
    </w:p>
    <w:p>
      <w:pPr>
        <w:pStyle w:val="ListParagraph"/>
        <w:numPr>
          <w:ilvl w:val="0"/>
          <w:numId w:val="2"/>
        </w:numPr>
        <w:spacing w:after="40" w:before="40"/>
      </w:pPr>
      <w:r>
        <w:rPr>
          <w:rFonts w:ascii="Arial" w:cs="Arial" w:eastAsia="Arial" w:hAnsi="Arial"/>
          <w:sz w:val="20"/>
          <w:szCs w:val="20"/>
        </w:rPr>
        <w:t xml:space="preserve">Riesgo de indisponibilidad del Sistema LBTR y falla en pagos críticos del sistema financiero nacional.</w:t>
      </w:r>
    </w:p>
    <w:p>
      <w:pPr>
        <w:pStyle w:val="ListParagraph"/>
        <w:numPr>
          <w:ilvl w:val="0"/>
          <w:numId w:val="2"/>
        </w:numPr>
        <w:spacing w:after="40" w:before="40"/>
      </w:pPr>
      <w:r>
        <w:rPr>
          <w:rFonts w:ascii="Arial" w:cs="Arial" w:eastAsia="Arial" w:hAnsi="Arial"/>
          <w:sz w:val="20"/>
          <w:szCs w:val="20"/>
        </w:rPr>
        <w:t xml:space="preserve">Ciberataques al sistema financiero (APT, ransomware, fraude SWIFT).</w:t>
      </w:r>
    </w:p>
    <w:p>
      <w:pPr>
        <w:pStyle w:val="ListParagraph"/>
        <w:numPr>
          <w:ilvl w:val="0"/>
          <w:numId w:val="2"/>
        </w:numPr>
        <w:spacing w:after="40" w:before="40"/>
      </w:pPr>
      <w:r>
        <w:rPr>
          <w:rFonts w:ascii="Arial" w:cs="Arial" w:eastAsia="Arial" w:hAnsi="Arial"/>
          <w:sz w:val="20"/>
          <w:szCs w:val="20"/>
        </w:rPr>
        <w:t xml:space="preserve">Dependencia de sistemas legacy que limitan la innovación tecnológica.</w:t>
      </w:r>
    </w:p>
    <w:p>
      <w:pPr>
        <w:pStyle w:val="ListParagraph"/>
        <w:numPr>
          <w:ilvl w:val="0"/>
          <w:numId w:val="2"/>
        </w:numPr>
        <w:spacing w:after="40" w:before="40"/>
      </w:pPr>
      <w:r>
        <w:rPr>
          <w:rFonts w:ascii="Arial" w:cs="Arial" w:eastAsia="Arial" w:hAnsi="Arial"/>
          <w:sz w:val="20"/>
          <w:szCs w:val="20"/>
        </w:rPr>
        <w:t xml:space="preserve">Riesgo de pérdida o compromiso de información macroeconómica crítica.</w:t>
      </w:r>
    </w:p>
    <w:p>
      <w:pPr>
        <w:pStyle w:val="ListParagraph"/>
        <w:numPr>
          <w:ilvl w:val="0"/>
          <w:numId w:val="2"/>
        </w:numPr>
        <w:spacing w:after="40" w:before="40"/>
      </w:pPr>
      <w:r>
        <w:rPr>
          <w:rFonts w:ascii="Arial" w:cs="Arial" w:eastAsia="Arial" w:hAnsi="Arial"/>
          <w:sz w:val="20"/>
          <w:szCs w:val="20"/>
        </w:rPr>
        <w:t xml:space="preserve">Incumplimiento de estándares internacionales (SWIFT, ISO 27001, BIS).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¿Cuáles serían los beneficios? – Oportunidad / Valor Estratégico</w:t>
      </w:r>
    </w:p>
    <w:p>
      <w:pPr>
        <w:pStyle w:val="ListParagraph"/>
        <w:numPr>
          <w:ilvl w:val="0"/>
          <w:numId w:val="2"/>
        </w:numPr>
        <w:spacing w:after="40" w:before="40"/>
      </w:pPr>
      <w:r>
        <w:rPr>
          <w:rFonts w:ascii="Arial" w:cs="Arial" w:eastAsia="Arial" w:hAnsi="Arial"/>
          <w:sz w:val="20"/>
          <w:szCs w:val="20"/>
        </w:rPr>
        <w:t xml:space="preserve">Surgimiento de CBDC – los bancos centrales a nivel mundial están explorando su implementación; el BCRP puede liderar en la región.</w:t>
      </w:r>
    </w:p>
    <w:p>
      <w:pPr>
        <w:pStyle w:val="ListParagraph"/>
        <w:numPr>
          <w:ilvl w:val="0"/>
          <w:numId w:val="2"/>
        </w:numPr>
        <w:spacing w:after="40" w:before="40"/>
      </w:pPr>
      <w:r>
        <w:rPr>
          <w:rFonts w:ascii="Arial" w:cs="Arial" w:eastAsia="Arial" w:hAnsi="Arial"/>
          <w:sz w:val="20"/>
          <w:szCs w:val="20"/>
        </w:rPr>
        <w:t xml:space="preserve">Expansión del ecosistema fintech y pagos digitales – modernización del LBTR y ecosistema de pagos.</w:t>
      </w:r>
    </w:p>
    <w:p>
      <w:pPr>
        <w:pStyle w:val="ListParagraph"/>
        <w:numPr>
          <w:ilvl w:val="0"/>
          <w:numId w:val="2"/>
        </w:numPr>
        <w:spacing w:after="40" w:before="40"/>
      </w:pPr>
      <w:r>
        <w:rPr>
          <w:rFonts w:ascii="Arial" w:cs="Arial" w:eastAsia="Arial" w:hAnsi="Arial"/>
          <w:sz w:val="20"/>
          <w:szCs w:val="20"/>
        </w:rPr>
        <w:t xml:space="preserve">Uso de big data e IA en política monetaria para modelos de proyección macroeconómica más precisos.</w:t>
      </w:r>
    </w:p>
    <w:p>
      <w:pPr>
        <w:pStyle w:val="ListParagraph"/>
        <w:numPr>
          <w:ilvl w:val="0"/>
          <w:numId w:val="2"/>
        </w:numPr>
        <w:spacing w:after="40" w:before="40"/>
      </w:pPr>
      <w:r>
        <w:rPr>
          <w:rFonts w:ascii="Arial" w:cs="Arial" w:eastAsia="Arial" w:hAnsi="Arial"/>
          <w:sz w:val="20"/>
          <w:szCs w:val="20"/>
        </w:rPr>
        <w:t xml:space="preserve">Posicionamiento del BCRP como banco central moderno y de primer nivel internacional (Visión institucional).</w:t>
      </w:r>
    </w:p>
    <w:p>
      <w:pPr>
        <w:pStyle w:val="ListParagraph"/>
        <w:numPr>
          <w:ilvl w:val="0"/>
          <w:numId w:val="2"/>
        </w:numPr>
        <w:spacing w:after="40" w:before="40"/>
      </w:pPr>
      <w:r>
        <w:rPr>
          <w:rFonts w:ascii="Arial" w:cs="Arial" w:eastAsia="Arial" w:hAnsi="Arial"/>
          <w:sz w:val="20"/>
          <w:szCs w:val="20"/>
        </w:rPr>
        <w:t xml:space="preserve">Mejora de la confianza pública en la moneda nacional mediante servicios digitales confiables.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¿Qué exige la dirección? – Alineación Estratégica</w:t>
      </w:r>
    </w:p>
    <w:p>
      <w:pPr>
        <w:pStyle w:val="ListParagraph"/>
        <w:numPr>
          <w:ilvl w:val="0"/>
          <w:numId w:val="2"/>
        </w:numPr>
        <w:spacing w:after="40" w:before="40"/>
      </w:pPr>
      <w:r>
        <w:rPr>
          <w:rFonts w:ascii="Arial" w:cs="Arial" w:eastAsia="Arial" w:hAnsi="Arial"/>
          <w:sz w:val="20"/>
          <w:szCs w:val="20"/>
        </w:rPr>
        <w:t xml:space="preserve">Cumplimiento de estándares SWIFT, ISO 27001 y normativa del BIS.</w:t>
      </w:r>
    </w:p>
    <w:p>
      <w:pPr>
        <w:pStyle w:val="ListParagraph"/>
        <w:numPr>
          <w:ilvl w:val="0"/>
          <w:numId w:val="2"/>
        </w:numPr>
        <w:spacing w:after="40" w:before="40"/>
      </w:pPr>
      <w:r>
        <w:rPr>
          <w:rFonts w:ascii="Arial" w:cs="Arial" w:eastAsia="Arial" w:hAnsi="Arial"/>
          <w:sz w:val="20"/>
          <w:szCs w:val="20"/>
        </w:rPr>
        <w:t xml:space="preserve">Implementación de servicios digitales y plataformas para ciudadanos, sector financiero y entidades internacionales.</w:t>
      </w:r>
    </w:p>
    <w:p>
      <w:pPr>
        <w:pStyle w:val="ListParagraph"/>
        <w:numPr>
          <w:ilvl w:val="0"/>
          <w:numId w:val="2"/>
        </w:numPr>
        <w:spacing w:after="40" w:before="40"/>
      </w:pPr>
      <w:r>
        <w:rPr>
          <w:rFonts w:ascii="Arial" w:cs="Arial" w:eastAsia="Arial" w:hAnsi="Arial"/>
          <w:sz w:val="20"/>
          <w:szCs w:val="20"/>
        </w:rPr>
        <w:t xml:space="preserve">Reportes en tiempo real para toma de decisiones de política monetaria y reservas internacionales.</w:t>
      </w:r>
    </w:p>
    <w:p>
      <w:pPr>
        <w:pStyle w:val="ListParagraph"/>
        <w:numPr>
          <w:ilvl w:val="0"/>
          <w:numId w:val="2"/>
        </w:numPr>
        <w:spacing w:after="40" w:before="40"/>
      </w:pPr>
      <w:r>
        <w:rPr>
          <w:rFonts w:ascii="Arial" w:cs="Arial" w:eastAsia="Arial" w:hAnsi="Arial"/>
          <w:sz w:val="20"/>
          <w:szCs w:val="20"/>
        </w:rPr>
        <w:t xml:space="preserve">Control y trazabilidad de procesos tecnológicos críticos.</w:t>
      </w:r>
    </w:p>
    <w:p>
      <w:pPr>
        <w:pStyle w:val="ListParagraph"/>
        <w:numPr>
          <w:ilvl w:val="0"/>
          <w:numId w:val="2"/>
        </w:numPr>
        <w:spacing w:after="40" w:before="40"/>
      </w:pPr>
      <w:r>
        <w:rPr>
          <w:rFonts w:ascii="Arial" w:cs="Arial" w:eastAsia="Arial" w:hAnsi="Arial"/>
          <w:sz w:val="20"/>
          <w:szCs w:val="20"/>
        </w:rPr>
        <w:t xml:space="preserve">Reducción de riesgos tecnológicos operativos e institucionales.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Relación de Impulsor con Objetivos Institucionales</w:t>
      </w:r>
    </w:p>
    <w:p>
      <w:pPr>
        <w:spacing w:after="60" w:before="60"/>
        <w:jc w:val="both"/>
      </w:pPr>
      <w:r>
        <w:rPr>
          <w:rFonts w:ascii="Arial" w:cs="Arial" w:eastAsia="Arial" w:hAnsi="Arial"/>
          <w:sz w:val="20"/>
          <w:szCs w:val="20"/>
        </w:rPr>
        <w:t xml:space="preserve">Cada impulsor identificado se conecta directamente con los objetivos estratégicos del Plan Estratégico BCRP 2022-2026, evidenciando la necesidad de implementar un sistema de Gobierno de TI para alcanzarlos: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100"/>
        <w:gridCol w:w="1700"/>
      </w:tblGrid>
      <w:tr>
        <w:tc>
          <w:tcPr>
            <w:tcW w:type="dxa" w:w="1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21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INSTITUCIONAL</w:t>
            </w:r>
          </w:p>
        </w:tc>
        <w:tc>
          <w:tcPr>
            <w:tcW w:type="dxa" w:w="1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POLÍTICA</w:t>
            </w:r>
          </w:p>
        </w:tc>
      </w:tr>
      <w:tr>
        <w:tc>
          <w:tcPr>
            <w:tcW w:type="dxa" w:w="14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Problema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LBTR y SIMC con tecnología desactualizada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Riesgo de indisponibilidad en pagos críticos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Promover estabilidad financiera y sistemas de pagos eficientes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de sistemas de pagos críticos</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Necesidad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data center y modernización de infraestructura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Continuidad operativa y redundancia plena</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Desarrollos informáticos que impulsen la innovación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Infraestructura tecnológica de primer nivel</w:t>
            </w:r>
          </w:p>
        </w:tc>
      </w:tr>
      <w:tr>
        <w:tc>
          <w:tcPr>
            <w:tcW w:type="dxa" w:w="1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bCs/>
                <w:sz w:val="18"/>
                <w:szCs w:val="18"/>
              </w:rPr>
              <w:t xml:space="preserve">Riesgo</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Capacidades limitadas de ciberseguridad activa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Exposición a ciberataques sofisticados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Desplegar gestión de riesgos a todos los procesos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y cumplimiento normativo SWIFT/ISO</w:t>
            </w:r>
          </w:p>
        </w:tc>
      </w:tr>
      <w:tr>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bCs/>
                <w:sz w:val="18"/>
                <w:szCs w:val="18"/>
              </w:rPr>
              <w:t xml:space="preserve">Oportunidad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CBDC, big data e IA aplicados a política monetaria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Liderazgo regional en banca central digital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 Mantener inflación en rango meta / OE5: Reservas internacionales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Transformación digital e innovación en banca central</w:t>
            </w:r>
          </w:p>
        </w:tc>
      </w:tr>
      <w:tr>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left"/>
            </w:pPr>
            <w:r>
              <w:rPr>
                <w:rFonts w:ascii="Arial" w:cs="Arial" w:eastAsia="Arial" w:hAnsi="Arial"/>
                <w:b/>
                <w:bCs/>
                <w:sz w:val="18"/>
                <w:szCs w:val="18"/>
              </w:rPr>
              <w:t xml:space="preserve">Alineación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Cumplimiento normativo SWIFT, ISO 27001, BIS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Cumplimiento estratégico e institucional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Gestión de riesgos / OE10: Desarrollos informáticos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Alineación TI con políticas nacionales e internacionales</w:t>
            </w:r>
          </w:p>
        </w:tc>
      </w:tr>
    </w:tbl>
    <w:p>
      <w:pPr>
        <w:spacing w:after="60" w:before="60"/>
      </w:pPr>
      <w:r>
        <w:t xml:space="preserve"/>
      </w:r>
    </w:p>
    <w:p>
      <w:pPr>
        <w:spacing w:after="60" w:before="60"/>
        <w:jc w:val="both"/>
      </w:pPr>
      <w:r>
        <w:rPr>
          <w:rFonts w:ascii="Arial" w:cs="Arial" w:eastAsia="Arial" w:hAnsi="Arial"/>
          <w:sz w:val="20"/>
          <w:szCs w:val="20"/>
        </w:rPr>
        <w:t xml:space="preserve">Esta tabla evidencia la alineación estratégica real: cada impulsor operativo del BCRP está directamente conectado con un objetivo institucional del Plan Estratégico 2022-2026 y con una política de modernización tecnológica, justificando la implementación de COBIT 2019 como marco de gobierno de TI.</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Glosario de Términos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w:t>
            </w:r>
          </w:p>
        </w:tc>
        <w:tc>
          <w:tcPr>
            <w:tcW w:type="dxa" w:w="6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LBTR</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Liquidación Bruta en Tiempo Real: sistema que procesa pagos de alto valor entre entidades del sistema financiero peruano en tiempo real.</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SIMC</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de Instrumentos Monetarios y Cambiarios: plataforma de gestión de operaciones monetarias y cambiarias del BCRP.</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SWIFT</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Society for Worldwide Interbank Financial Telecommunication: red global de mensajería financiera segura para transacciones internacionales.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HSM</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Hardware Security Module: dispositivo físico que gestiona y protege claves criptográficas y procesa operaciones de cifrado de alta seguridad.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MDM</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Mobile Device Management: solución para gestionar, asegurar y monitorear dispositivos móviles corporativos.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CBDC</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Central Bank Digital Currency: moneda digital emitida por un banco central como alternativa digital al efectivo físico.</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COBIT 2019</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Control Objectives for Information and Related Technologies: marco de referencia internacional de gobierno y gestión de TI publicado por ISACA.</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EGIT</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Enterprise Governance of Information &amp; Technology: sistema formal de gobierno corporativo de TI que permite evaluar, dirigir y monitorear el uso de la tecnología.</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PETI</w:t>
            </w:r>
          </w:p>
        </w:tc>
        <w:tc>
          <w:tcPr>
            <w:tcW w:type="dxa" w:w="6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Plan Estratégico de Tecnologías de Información: instrumento de planificación que alinea los servicios TI con los objetivos estratégicos institucionales.</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Matriz General: Impulsor – Driver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500"/>
        <w:gridCol w:w="37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IMPULSOR GENERAL</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ESPECÍFICO</w:t>
            </w:r>
          </w:p>
        </w:tc>
        <w:tc>
          <w:tcPr>
            <w:tcW w:type="dxa" w:w="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DRIVERS TECNOLÓGICOS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urgente del Sistema LBTR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interbancario crítico con plataforma desactualizada que genera riesgo de continuidad en pagos del sistema financiero nacional</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P</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Plataformas de pagos en tiempo real. 2. Sistemas de alta disponibilidad. 3. Cifrado y autenticación HSM. 4. Arquitectura de microservicios. 5. Estándares ISO 20022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centro de datos para redundancia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Solo dos data centers activos; ausencia de redundancia geográfica plena para sistemas críticos (LBTR, SIMC, SWIFT)</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Infraestructura data centers Tier III/IV. 2. Tecnologías de replicación en tiempo real. 3. Arquitectura de alta disponibilidad. 4. Virtualización avanzada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con defensa activa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básicos insuficientes ante ataques sofisticados APT, ransomware y fraude SWIFT al sistema financiero</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HSM. 2. MDM. 3. VPN doble factor. 4. SIEM. 5. ISO 27001. 6. Threat Intelligence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Big data e IA para política monetaria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Las gerencias misionales requieren herramientas analíticas avanzadas para política monetaria, reservas internacionales y proyección macroeconómica</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O</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Plataformas big data (Hadoop, Spark). 2. Machine Learning e IA. 3. Datamarts y Business Intelligence. 4. Web scraping y analítica predictiva. 5. Bases de datos de alta velocidad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CBDC e innovación en pagos digitales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Surgimiento mundial de monedas digitales de bancos centrales que requieren monitoreo, análisis e investigación por parte del BCRP</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O</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Tecnología blockchain/DLT. 2. Plataformas de pagos digitales. 3. Observatorio tecnológico CBDC. 4. APIs de interoperabilidad. 5. Sistemas de pago instantáneo</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Herramientas colaborativas y gestión del conocimiento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Office 365 e Intranet colaborativa en proceso; GESCON básico afecta gestión del conocimiento institucional y la productividad</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Microsoft Office 365. 2. SharePoint / Intranet. 3. Plataformas de gestión documental. 4. Firma digital. 5. GESCON</w:t>
            </w:r>
          </w:p>
        </w:tc>
      </w:tr>
    </w:tbl>
    <w:p>
      <w:pPr>
        <w:spacing w:after="60" w:before="60"/>
        <w:jc w:val="left"/>
      </w:pPr>
      <w:r>
        <w:rPr>
          <w:rFonts w:ascii="Arial" w:cs="Arial" w:eastAsia="Arial" w:hAnsi="Arial"/>
          <w:sz w:val="20"/>
          <w:szCs w:val="20"/>
        </w:rPr>
        <w:t xml:space="preserve">P = Problema | N = Necesidad | R = Riesgo | O = Oportunidad | X = Sin identificar, pero importante</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Matriz Impulsor Oportunidad – Driver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500"/>
        <w:gridCol w:w="35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IMPULSOR OPORTUNIDAD</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ESPECÍFICO</w:t>
            </w:r>
          </w:p>
        </w:tc>
        <w:tc>
          <w:tcPr>
            <w:tcW w:type="dxa" w:w="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DRIVERS TECNOLÓGICOS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CBDC e innovación en pagos digitales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El BCRP requiere capacidad de investigación, monitoreo e implementación de moneda digital en el sistema financiero peruano</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O</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Blockchain/DLT. 2. Observatorio CBDC. 3. Plataformas de pago instantáneo. 4. APIs interoperabilidad fintech. 5. Análisis de impacto macroeconómico</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Big data e IA en política monetaria y reservas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Capacidades analíticas avanzadas para modelos de proyección, gestión de reservas y generación de información macroeconómica de calidad</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O</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Plataformas big data. 2. Machine Learning/IA. 3. Datamarts especializados. 4. Visualización de datos avanzada. 5. Cloud computing analítico</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Posicionamiento internacional del BCRP como banco central digital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Cooperación con BIS, bancos centrales líderes y estándares internacionales para innovación digital</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O</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Estándares ISO 20022. 2. Plataformas SWIFT de última generación. 3. Sistemas de reporting internacional. 4. ESG analytics</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Matriz Impulsor Necesidad – Driver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500"/>
        <w:gridCol w:w="35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IMPULSOR NECESIDAD</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ESPECÍFICO</w:t>
            </w:r>
          </w:p>
        </w:tc>
        <w:tc>
          <w:tcPr>
            <w:tcW w:type="dxa" w:w="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DRIVERS TECNOLÓGICOS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data center para redundancia plena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Necesidad de garantizar continuidad operativa plena ante fallas simultáneas en sistemas críticos (LBTR, SIMC, SWIFT)</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Infraestructura Tier III/IV. 2. Replicación en tiempo real. 3. Failover automático. 4. Backup y recuperación. 5. Gestión de continuidad operativa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Herramientas colaborativas y gestión del conocimiento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Despliegue completo de Office 365, Intranet colaborativa y modernización de GESCON para mejorar la productividad del personal</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Office 365/Microsoft 365. 2. SharePoint. 3. Teams. 4. Gestión documental digital. 5. Firma digital institucional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Integración de plataformas de datos estadísticos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Las bases de datos sectoriales (balanza de pagos, mercado laboral) requieren integración plena para análisis macroeconómico en tiempo real</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Arquitectura de datos centralizada. 2. ETL y pipelines de datos. 3. APIs de interoperabilidad. 4. Data warehouse institucional. 5. Datamarts especializados</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Matriz Impulsor Riesgo – Driver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500"/>
        <w:gridCol w:w="35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IMPULSOR RIESGO</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ESPECÍFICO</w:t>
            </w:r>
          </w:p>
        </w:tc>
        <w:tc>
          <w:tcPr>
            <w:tcW w:type="dxa" w:w="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DRIVERS TECNOLÓGICOS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Ciberataques sofisticados al sistema financiero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Incremento de amenazas APT, ransomware y fraude SWIFT dirigidas a la banca central; controles actuales insuficientes para defensa activa</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HSM (Hardware Security Module). 2. MDM. 3. VPN doble factor. 4. SIEM. 5. Threat Intelligence. 6. ISO 27001</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Riesgo de indisponibilidad del LBTR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Falla del sistema de pagos interbancario puede paralizar el sistema financiero nacional; ausencia de redundancia completa agrava el riesgo</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Arquitectura de alta disponibilidad. 2. Sistemas de failover automático. 3. Monitoreo 24/7. 4. Planes de continuidad operativa (BCP). 5. Tercer data center</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Dependencia de sistemas legacy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LBTR y SIMC operan con tecnología que limita la innovación y genera vulnerabilidades ante nuevas amenazas tecnológicas y regulatorias</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R</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Modernización de plataformas legacy. 2. Migración gradual a arquitecturas modernas. 3. Gestión de deuda técnica. 4. Estándares de seguridad actualizados</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Matriz Impulsor Problema – Driver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500"/>
        <w:gridCol w:w="35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IMPULSOR PROBLEMA</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ESPECÍFICO</w:t>
            </w:r>
          </w:p>
        </w:tc>
        <w:tc>
          <w:tcPr>
            <w:tcW w:type="dxa" w:w="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DRIVERS TECNOLÓGICOS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LBTR con tecnología desactualizada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El sistema de pagos interbancario opera con plataforma que ya no recibe soporte adecuado, limitando su capacidad y seguridad</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P</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Nuevas plataformas de pagos en tiempo real. 2. Arquitectura orientada a microservicios. 3. ISO 20022. 4. Cifrado de última generación. 5. APIs de integración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SIMC requiere modernización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El sistema de instrumentos monetarios y cambiarios limita la capacidad de innovación en instrumentos financieros del BCRP</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P</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Plataformas de gestión de operaciones monetarias modernas. 2. Integración con LBTR renovado. 3. Interfaces analíticas. 4. Automatización de procesos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Integración limitada de plataformas de datos estadísticos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Bases de datos sectoriales no integradas dificultan análisis macroeconómico en tiempo real para política monetaria y gestión de reservas</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P</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Data warehouse centralizado. 2. ETL automatizado. 3. Datamarts por gerencia misional. 4. APIs de interoperabilidad. 5. Big data analytics</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Visualización del Negocio – Distribución de la Fase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w:t>
            </w:r>
          </w:p>
        </w:tc>
        <w:tc>
          <w:tcPr>
            <w:tcW w:type="dxa" w:w="6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PREGUNTA QUE RESPONDE</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Stakeholders</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¿Quiénes presionan? → Directorio, Gerencia General, gerencias misionales (GOMEF, Estudios, Reservas, Pagos), SBS, BIS, SWIFT</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Driver</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¿Cuál es la gran razón? → Preservar la estabilidad monetaria del Perú con TI moderna, segura e innovadora</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Impulsores</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¿Qué está ocurriendo? → LBTR desactualizado, sin tercer DC, ciberseguridad insuficiente, big data en desarrollo, CBDC emergente</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Objetivo</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¿Qué se busca lograr? → Gobierno de TI estructurado bajo COBIT 2019 alineado al PETI 2022-2026</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Comité de Gobierno</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¿Quién gobierna? → Directorio / Gerente General / CIO (GTI) / Gerencias misionales / Auditoría Interna</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Equipo de Trabajo</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¿Quién ejecuta? → GTI, especialistas en riesgos TI, consultor COBIT (CGEIT), coordinador de proyectos, RRHH</w:t>
            </w:r>
          </w:p>
        </w:tc>
      </w:tr>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Resultados esperados</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¿Qué se espera obtener? → Sistemas críticos modernizados, ciberseguridad activa, continuidad garantizada, TI como habilitador estratégico del BCRP</w:t>
            </w:r>
          </w:p>
        </w:tc>
      </w:tr>
    </w:tbl>
    <w:p>
      <w:pPr>
        <w:spacing w:after="60" w:before="60"/>
      </w:pPr>
      <w:r>
        <w:t xml:space="preserve"/>
      </w:r>
    </w:p>
    <w:p>
      <w:pPr>
        <w:spacing w:after="60" w:before="60"/>
        <w:jc w:val="both"/>
      </w:pPr>
      <w:r>
        <w:rPr>
          <w:rFonts w:ascii="Arial" w:cs="Arial" w:eastAsia="Arial" w:hAnsi="Arial"/>
          <w:sz w:val="20"/>
          <w:szCs w:val="20"/>
        </w:rPr>
        <w:t xml:space="preserve">En el Banco Central de Reserva del Perú, el proyecto de Gobierno de TI se inicia con la aprobación del Directorio y la conformación de un equipo multidisciplinario liderado por la GTI. Posteriormente, se identifican impulsores como la modernización urgente del Sistema LBTR, la ausencia del tercer data center, las capacidades limitadas de ciberseguridad activa, la integración incompleta de plataformas de datos estadísticos, y el surgimiento de CBDC e innovaciones en pagos digitales, los cuales justifican la implementación de COBIT 2019 como marco de gobierno de TI del BCRP.</w:t>
      </w:r>
    </w:p>
    <w:p>
      <w:pPr>
        <w:spacing w:after="60" w:before="60"/>
      </w:pPr>
      <w:r>
        <w:t xml:space="preserve"/>
      </w:r>
    </w:p>
    <w:p>
      <w:r>
        <w:br w:type="page"/>
      </w:r>
    </w:p>
    <w:p>
      <w:pPr>
        <w:shd w:fill="2E5FA3" w:val="clear"/>
        <w:spacing w:after="100" w:before="200"/>
        <w:ind w:left="160"/>
      </w:pPr>
      <w:r>
        <w:rPr>
          <w:rFonts w:ascii="Arial" w:cs="Arial" w:eastAsia="Arial" w:hAnsi="Arial"/>
          <w:b/>
          <w:bCs/>
          <w:color w:val="FFFFFF"/>
          <w:sz w:val="24"/>
          <w:szCs w:val="24"/>
        </w:rPr>
        <w:t xml:space="preserve">3. VISUALIZACIÓN DEL NEGOCIO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3.1. Vista General del Negocio – BCRP (COBIT 2019)</w:t>
      </w:r>
    </w:p>
    <w:p>
      <w:pPr>
        <w:spacing w:after="60" w:before="60"/>
        <w:jc w:val="both"/>
      </w:pPr>
      <w:r>
        <w:rPr>
          <w:rFonts w:ascii="Arial" w:cs="Arial" w:eastAsia="Arial" w:hAnsi="Arial"/>
          <w:sz w:val="20"/>
          <w:szCs w:val="20"/>
        </w:rPr>
        <w:t xml:space="preserve">La siguiente visualización general muestra cómo se articulan todos los elementos del proyecto de Gobierno de TI del BCRP: desde los stakeholders y los impulsores del negocio, pasando por la convergencia estratégica y el objetivo central, hasta la conformación del Comité de Gobierno y el Equipo de Trabajo, y los resultados esperados. La lectura se realiza de arriba hacia abajo, siguiendo el flujo de valor que conecta la estrategia institucional con la ejecución tecnológica.</w:t>
      </w:r>
    </w:p>
    <w:p>
      <w:pPr>
        <w:spacing w:after="60" w:before="60"/>
      </w:pPr>
      <w:r>
        <w:t xml:space="preserve"/>
      </w:r>
    </w:p>
    <w:p>
      <w:pPr>
        <w:spacing w:after="120" w:before="120"/>
        <w:jc w:val="center"/>
      </w:pPr>
      <w:r>
        <w:drawing>
          <wp:inline distT="0" distB="0" distL="0" distR="0">
            <wp:extent cx="6000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81375"/>
                    </a:xfrm>
                    <a:prstGeom prst="rect">
                      <a:avLst/>
                    </a:prstGeom>
                  </pic:spPr>
                </pic:pic>
              </a:graphicData>
            </a:graphic>
          </wp:inline>
        </w:drawing>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3.2. Vista Detalle del Negocio – Mapa Motivacional BCRP (COBIT 2019)</w:t>
      </w:r>
    </w:p>
    <w:p>
      <w:pPr>
        <w:spacing w:after="60" w:before="60"/>
        <w:jc w:val="both"/>
      </w:pPr>
      <w:r>
        <w:rPr>
          <w:rFonts w:ascii="Arial" w:cs="Arial" w:eastAsia="Arial" w:hAnsi="Arial"/>
          <w:sz w:val="20"/>
          <w:szCs w:val="20"/>
        </w:rPr>
        <w:t xml:space="preserve">La siguiente visualización de detalle muestra el mapa motivacional del proyecto, con las relaciones entre los stakeholders, los objetivos estratégicos institucionales (OE), las metas cuantificables (KPIs), los procesos COBIT activados y los recursos tecnológicos que deben implementarse para alcanzar el estado deseado. La lectura también se realiza de arriba hacia abajo, visualizando cómo cada capa se conecta con la siguiente.</w:t>
      </w:r>
    </w:p>
    <w:p>
      <w:pPr>
        <w:spacing w:after="60" w:before="60"/>
      </w:pPr>
      <w:r>
        <w:t xml:space="preserve"/>
      </w:r>
    </w:p>
    <w:p>
      <w:pPr>
        <w:spacing w:after="120" w:before="120"/>
        <w:jc w:val="center"/>
      </w:pPr>
      <w:r>
        <w:drawing>
          <wp:inline distT="0" distB="0" distL="0" distR="0">
            <wp:extent cx="6000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14750"/>
                    </a:xfrm>
                    <a:prstGeom prst="rect">
                      <a:avLst/>
                    </a:prstGeom>
                  </pic:spPr>
                </pic:pic>
              </a:graphicData>
            </a:graphic>
          </wp:inline>
        </w:drawing>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4. DESCRIPCIÓN DE LA VISTA MOTIVACIONAL</w:t>
      </w:r>
    </w:p>
    <w:p>
      <w:pPr>
        <w:spacing w:after="60" w:before="60"/>
        <w:jc w:val="both"/>
      </w:pPr>
      <w:r>
        <w:rPr>
          <w:rFonts w:ascii="Arial" w:cs="Arial" w:eastAsia="Arial" w:hAnsi="Arial"/>
          <w:sz w:val="20"/>
          <w:szCs w:val="20"/>
        </w:rPr>
        <w:t xml:space="preserve">La vista motivacional muestra por qué se necesita la arquitectura de gobierno de TI, quiénes están involucrados, qué les preocupa, qué se quiere lograr, qué metas se medirán, y qué recursos o procesos lo harán posible. A continuación se describe cada elemento: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1. Stakeholders (Partes Interesadas)</w:t>
      </w:r>
    </w:p>
    <w:p>
      <w:pPr>
        <w:spacing w:after="60" w:before="60"/>
        <w:jc w:val="both"/>
      </w:pPr>
      <w:r>
        <w:rPr>
          <w:rFonts w:ascii="Arial" w:cs="Arial" w:eastAsia="Arial" w:hAnsi="Arial"/>
          <w:sz w:val="20"/>
          <w:szCs w:val="20"/>
        </w:rPr>
        <w:t xml:space="preserve">Los stakeholders son las partes interesadas que influyen en el proceso, que se benefician del resultado, se ven afectados por el problema, y tienen interés en que la arquitectura de gobierno funcione correctamente. En el caso del BCRP, los stakeholders están interesados en que el Banco cuente con sistemas tecnológicos críticos modernos, seguros y resilientes, que garanticen la continuidad del sistema de pagos nacional y la preservación de la estabilidad monetaria del Perú.</w:t>
      </w:r>
    </w:p>
    <w:p>
      <w:pPr>
        <w:spacing w:after="60" w:before="60"/>
      </w:pPr>
      <w:r>
        <w:t xml:space="preserve"/>
      </w:r>
    </w:p>
    <w:p>
      <w:pPr>
        <w:spacing w:after="60" w:before="60"/>
        <w:jc w:val="both"/>
      </w:pPr>
      <w:r>
        <w:rPr>
          <w:rFonts w:ascii="Arial" w:cs="Arial" w:eastAsia="Arial" w:hAnsi="Arial"/>
          <w:sz w:val="20"/>
          <w:szCs w:val="20"/>
        </w:rPr>
        <w:t xml:space="preserve">Los stakeholders identificados en el proyecto de Gobierno de TI del BCRP son: el Directorio del BCRP (aprobación estratégica y gobierno corporativo), la Gerencia General (impulso ejecutivo y asignación de recursos), la Gerencia de Tecnologías de Información o GTI (gestión y operación de TI), la Gerencia de Operaciones Monetarias y Estabilidad Financiera o GOMEF (dependiente crítica del LBTR y los sistemas de pagos), la Superintendencia de Banca y Seguros o SBS y el Banco de Pagos Internacionales o BIS (normativa y estándares internacionales), y Auditoría Interna (aseguramiento del gobierno corporativo tecnológico).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 Impulsores (Problemas, Necesidades, Riesgos y Oportunidades)</w:t>
      </w:r>
    </w:p>
    <w:p>
      <w:pPr>
        <w:spacing w:after="60" w:before="60"/>
        <w:jc w:val="both"/>
      </w:pPr>
      <w:r>
        <w:rPr>
          <w:rFonts w:ascii="Arial" w:cs="Arial" w:eastAsia="Arial" w:hAnsi="Arial"/>
          <w:sz w:val="20"/>
          <w:szCs w:val="20"/>
        </w:rPr>
        <w:t xml:space="preserve">Los impulsores identifican las necesidades, oportunidades, problemas y riesgos de las partes interesadas. Un impulsor bien identificado ayuda a que la alta dirección (Comité de Gobierno) entienda el valor de lo que está haciendo y justifique la implementación del sistema de gobierno de TI. En el BCRP, los impulsores se agrupan en cuatro categorías:</w:t>
      </w:r>
    </w:p>
    <w:p>
      <w:pPr>
        <w:spacing w:after="60" w:before="60"/>
      </w:pPr>
      <w:r>
        <w:t xml:space="preserve"/>
      </w:r>
    </w:p>
    <w:p>
      <w:pPr>
        <w:spacing w:after="60" w:before="60"/>
        <w:jc w:val="both"/>
      </w:pPr>
      <w:r>
        <w:rPr>
          <w:rFonts w:ascii="Arial" w:cs="Arial" w:eastAsia="Arial" w:hAnsi="Arial"/>
          <w:b/>
          <w:bCs/>
          <w:sz w:val="20"/>
          <w:szCs w:val="20"/>
        </w:rPr>
        <w:t xml:space="preserve">Problemas: </w:t>
      </w:r>
      <w:r>
        <w:rPr>
          <w:rFonts w:ascii="Arial" w:cs="Arial" w:eastAsia="Arial" w:hAnsi="Arial"/>
          <w:sz w:val="20"/>
          <w:szCs w:val="20"/>
        </w:rPr>
        <w:t xml:space="preserve">El Sistema LBTR opera con tecnología desactualizada que representa un riesgo de continuidad para los pagos interbancarios del sistema financiero nacional. El SIMC requiere modernización urgente. La integración de plataformas de datos estadísticos es limitada. No existe un tercer data center para redundancia geográfica plena. Ausencia de Sistema Formal de Gobierno de TI (EGIT) estructurado bajo COBIT 2019.</w:t>
      </w:r>
    </w:p>
    <w:p>
      <w:pPr>
        <w:spacing w:after="60" w:before="60"/>
      </w:pPr>
      <w:r>
        <w:t xml:space="preserve"/>
      </w:r>
    </w:p>
    <w:p>
      <w:pPr>
        <w:spacing w:after="60" w:before="60"/>
        <w:jc w:val="both"/>
      </w:pPr>
      <w:r>
        <w:rPr>
          <w:rFonts w:ascii="Arial" w:cs="Arial" w:eastAsia="Arial" w:hAnsi="Arial"/>
          <w:b/>
          <w:bCs/>
          <w:sz w:val="20"/>
          <w:szCs w:val="20"/>
        </w:rPr>
        <w:t xml:space="preserve">Necesidades: </w:t>
      </w:r>
      <w:r>
        <w:rPr>
          <w:rFonts w:ascii="Arial" w:cs="Arial" w:eastAsia="Arial" w:hAnsi="Arial"/>
          <w:sz w:val="20"/>
          <w:szCs w:val="20"/>
        </w:rPr>
        <w:t xml:space="preserve">Modernizar el LBTR y el SIMC para garantizar la continuidad de los pagos nacionales. Implementar el tercer data center. Fortalecer la ciberseguridad con defensa activa (HSM, MDM, VPN doble factor). Desplegar completamente herramientas de big data e IA en las gerencias misionales. Completar el despliegue de Office 365 e Intranet colaborativa.</w:t>
      </w:r>
    </w:p>
    <w:p>
      <w:pPr>
        <w:spacing w:after="60" w:before="60"/>
      </w:pPr>
      <w:r>
        <w:t xml:space="preserve"/>
      </w:r>
    </w:p>
    <w:p>
      <w:pPr>
        <w:spacing w:after="60" w:before="60"/>
        <w:jc w:val="both"/>
      </w:pPr>
      <w:r>
        <w:rPr>
          <w:rFonts w:ascii="Arial" w:cs="Arial" w:eastAsia="Arial" w:hAnsi="Arial"/>
          <w:b/>
          <w:bCs/>
          <w:sz w:val="20"/>
          <w:szCs w:val="20"/>
        </w:rPr>
        <w:t xml:space="preserve">Riesgos: </w:t>
      </w:r>
      <w:r>
        <w:rPr>
          <w:rFonts w:ascii="Arial" w:cs="Arial" w:eastAsia="Arial" w:hAnsi="Arial"/>
          <w:sz w:val="20"/>
          <w:szCs w:val="20"/>
        </w:rPr>
        <w:t xml:space="preserve">Ciberataques sofisticados (APT, ransomware, fraude SWIFT) al sistema financiero nacional. Riesgo de indisponibilidad total ante falla simultánea de los dos data centers actuales. Dependencia de sistemas legacy que limitan la innovación y generan vulnerabilidades. Incumplimiento de estándares internacionales (SWIFT, ISO 27001, BIS).</w:t>
      </w:r>
    </w:p>
    <w:p>
      <w:pPr>
        <w:spacing w:after="60" w:before="60"/>
      </w:pPr>
      <w:r>
        <w:t xml:space="preserve"/>
      </w:r>
    </w:p>
    <w:p>
      <w:pPr>
        <w:spacing w:after="60" w:before="60"/>
        <w:jc w:val="both"/>
      </w:pPr>
      <w:r>
        <w:rPr>
          <w:rFonts w:ascii="Arial" w:cs="Arial" w:eastAsia="Arial" w:hAnsi="Arial"/>
          <w:b/>
          <w:bCs/>
          <w:sz w:val="20"/>
          <w:szCs w:val="20"/>
        </w:rPr>
        <w:t xml:space="preserve">Oportunidades: </w:t>
      </w:r>
      <w:r>
        <w:rPr>
          <w:rFonts w:ascii="Arial" w:cs="Arial" w:eastAsia="Arial" w:hAnsi="Arial"/>
          <w:sz w:val="20"/>
          <w:szCs w:val="20"/>
        </w:rPr>
        <w:t xml:space="preserve">Surgimiento de CBDC a nivel mundial – el BCRP puede liderar en la región. Aplicación de big data e IA para modelos de proyección macroeconómica más precisos. Posicionamiento del BCRP como banco central moderno y de primer nivel internacional.</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3. Drivers (Impulsores de Cambio Tecnológico)</w:t>
      </w:r>
    </w:p>
    <w:p>
      <w:pPr>
        <w:spacing w:after="60" w:before="60"/>
        <w:jc w:val="both"/>
      </w:pPr>
      <w:r>
        <w:rPr>
          <w:rFonts w:ascii="Arial" w:cs="Arial" w:eastAsia="Arial" w:hAnsi="Arial"/>
          <w:sz w:val="20"/>
          <w:szCs w:val="20"/>
        </w:rPr>
        <w:t xml:space="preserve">Los drivers son los impulsores de cambio tecnológico: es lo que empuja a la organización a mejorar, transformar o actuar desde una perspectiva de capacidades digitales. Los drivers tecnológicos indican que existen herramientas o capacidades que pueden ayudar al BCRP a modernizar sus sistemas críticos, aumentar la ciberseguridad, mejorar las capacidades analíticas y fortalecer el gobierno de TI.</w:t>
      </w:r>
    </w:p>
    <w:p>
      <w:pPr>
        <w:spacing w:after="60" w:before="60"/>
      </w:pPr>
      <w:r>
        <w:t xml:space="preserve"/>
      </w:r>
    </w:p>
    <w:p>
      <w:pPr>
        <w:spacing w:after="60" w:before="60"/>
        <w:jc w:val="both"/>
      </w:pPr>
      <w:r>
        <w:rPr>
          <w:rFonts w:ascii="Arial" w:cs="Arial" w:eastAsia="Arial" w:hAnsi="Arial"/>
          <w:sz w:val="20"/>
          <w:szCs w:val="20"/>
        </w:rPr>
        <w:t xml:space="preserve">Los drivers tecnológicos identificados para el BCRP son: la modernización del LBTR bajo estándares ISO 20022 y plataformas de alta disponibilidad, la implementación del tercer data center Tier III/IV con replicación en tiempo real, las soluciones de ciberseguridad activa (HSM, MDM, SIEM, Threat Intelligence), las plataformas de big data e inteligencia artificial para política monetaria y reservas internacionales, la tecnología blockchain/DLT para el Observatorio CBDC, y las herramientas colaborativas Office 365 y SharePoint para la gestión institucional del conocimiento.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4. Resultados Esperados</w:t>
      </w:r>
    </w:p>
    <w:p>
      <w:pPr>
        <w:spacing w:after="60" w:before="60"/>
        <w:jc w:val="both"/>
      </w:pPr>
      <w:r>
        <w:rPr>
          <w:rFonts w:ascii="Arial" w:cs="Arial" w:eastAsia="Arial" w:hAnsi="Arial"/>
          <w:sz w:val="20"/>
          <w:szCs w:val="20"/>
        </w:rPr>
        <w:t xml:space="preserve">Los resultados esperados deben ser cuantificables. No se trata de hacer una lista de deseos, sino de definir el valor real que el BCRP recibirá por implementar el sistema de gobierno de TI que se está diseñando. En COBIT 2019, los resultados se miden a través de KPIs (Indicadores Clave de Desempeño) formales que son reportados periódicamente al Directorio del Banco.</w:t>
      </w:r>
    </w:p>
    <w:p>
      <w:pPr>
        <w:spacing w:after="60" w:before="60"/>
      </w:pPr>
      <w:r>
        <w:t xml:space="preserve"/>
      </w:r>
    </w:p>
    <w:p>
      <w:pPr>
        <w:spacing w:after="60" w:before="60"/>
        <w:jc w:val="both"/>
      </w:pPr>
      <w:r>
        <w:rPr>
          <w:rFonts w:ascii="Arial" w:cs="Arial" w:eastAsia="Arial" w:hAnsi="Arial"/>
          <w:sz w:val="20"/>
          <w:szCs w:val="20"/>
        </w:rPr>
        <w:t xml:space="preserve">Los resultados esperados del EGIT del BCRP son:</w:t>
      </w:r>
    </w:p>
    <w:p>
      <w:pPr>
        <w:pStyle w:val="ListParagraph"/>
        <w:numPr>
          <w:ilvl w:val="0"/>
          <w:numId w:val="2"/>
        </w:numPr>
        <w:spacing w:after="40" w:before="40"/>
      </w:pPr>
      <w:r>
        <w:rPr>
          <w:rFonts w:ascii="Arial" w:cs="Arial" w:eastAsia="Arial" w:hAnsi="Arial"/>
          <w:sz w:val="20"/>
          <w:szCs w:val="20"/>
        </w:rPr>
        <w:t xml:space="preserve">Nuevo Sistema LBTR y SIMC modernizados y operativos con disponibilidad ≥ 99.9%.</w:t>
      </w:r>
    </w:p>
    <w:p>
      <w:pPr>
        <w:pStyle w:val="ListParagraph"/>
        <w:numPr>
          <w:ilvl w:val="0"/>
          <w:numId w:val="2"/>
        </w:numPr>
        <w:spacing w:after="40" w:before="40"/>
      </w:pPr>
      <w:r>
        <w:rPr>
          <w:rFonts w:ascii="Arial" w:cs="Arial" w:eastAsia="Arial" w:hAnsi="Arial"/>
          <w:sz w:val="20"/>
          <w:szCs w:val="20"/>
        </w:rPr>
        <w:t xml:space="preserve">Tercer data center implementado con redundancia geográfica plena y RTO ≤ 4 horas.</w:t>
      </w:r>
    </w:p>
    <w:p>
      <w:pPr>
        <w:pStyle w:val="ListParagraph"/>
        <w:numPr>
          <w:ilvl w:val="0"/>
          <w:numId w:val="2"/>
        </w:numPr>
        <w:spacing w:after="40" w:before="40"/>
      </w:pPr>
      <w:r>
        <w:rPr>
          <w:rFonts w:ascii="Arial" w:cs="Arial" w:eastAsia="Arial" w:hAnsi="Arial"/>
          <w:sz w:val="20"/>
          <w:szCs w:val="20"/>
        </w:rPr>
        <w:t xml:space="preserve">Ciberseguridad activa certificada: HSM, MDM, SIEM operativos e ISO 27001 certificado (100%).</w:t>
      </w:r>
    </w:p>
    <w:p>
      <w:pPr>
        <w:pStyle w:val="ListParagraph"/>
        <w:numPr>
          <w:ilvl w:val="0"/>
          <w:numId w:val="2"/>
        </w:numPr>
        <w:spacing w:after="40" w:before="40"/>
      </w:pPr>
      <w:r>
        <w:rPr>
          <w:rFonts w:ascii="Arial" w:cs="Arial" w:eastAsia="Arial" w:hAnsi="Arial"/>
          <w:sz w:val="20"/>
          <w:szCs w:val="20"/>
        </w:rPr>
        <w:t xml:space="preserve">Infraestructura de big data e IA completamente desplegada en gerencias misionales.</w:t>
      </w:r>
    </w:p>
    <w:p>
      <w:pPr>
        <w:pStyle w:val="ListParagraph"/>
        <w:numPr>
          <w:ilvl w:val="0"/>
          <w:numId w:val="2"/>
        </w:numPr>
        <w:spacing w:after="40" w:before="40"/>
      </w:pPr>
      <w:r>
        <w:rPr>
          <w:rFonts w:ascii="Arial" w:cs="Arial" w:eastAsia="Arial" w:hAnsi="Arial"/>
          <w:sz w:val="20"/>
          <w:szCs w:val="20"/>
        </w:rPr>
        <w:t xml:space="preserve">EGIT institucionalizado: Comité de Gobierno formal, portafolio PETI 2022-2026 ejecutado al ≥ 90%.</w:t>
      </w:r>
    </w:p>
    <w:p>
      <w:pPr>
        <w:pStyle w:val="ListParagraph"/>
        <w:numPr>
          <w:ilvl w:val="0"/>
          <w:numId w:val="2"/>
        </w:numPr>
        <w:spacing w:after="40" w:before="40"/>
      </w:pPr>
      <w:r>
        <w:rPr>
          <w:rFonts w:ascii="Arial" w:cs="Arial" w:eastAsia="Arial" w:hAnsi="Arial"/>
          <w:sz w:val="20"/>
          <w:szCs w:val="20"/>
        </w:rPr>
        <w:t xml:space="preserve">Nivel de madurez COBIT promedio: Nivel 3 (Definido) en todos los procesos críticos.</w:t>
      </w:r>
    </w:p>
    <w:p>
      <w:pPr>
        <w:pStyle w:val="ListParagraph"/>
        <w:numPr>
          <w:ilvl w:val="0"/>
          <w:numId w:val="2"/>
        </w:numPr>
        <w:spacing w:after="40" w:before="40"/>
      </w:pPr>
      <w:r>
        <w:rPr>
          <w:rFonts w:ascii="Arial" w:cs="Arial" w:eastAsia="Arial" w:hAnsi="Arial"/>
          <w:sz w:val="20"/>
          <w:szCs w:val="20"/>
        </w:rPr>
        <w:t xml:space="preserve">Satisfacción de gerencias misionales con servicios TI ≥ 85%.</w:t>
      </w:r>
    </w:p>
    <w:p>
      <w:pPr>
        <w:pStyle w:val="ListParagraph"/>
        <w:numPr>
          <w:ilvl w:val="0"/>
          <w:numId w:val="2"/>
        </w:numPr>
        <w:spacing w:after="40" w:before="40"/>
      </w:pPr>
      <w:r>
        <w:rPr>
          <w:rFonts w:ascii="Arial" w:cs="Arial" w:eastAsia="Arial" w:hAnsi="Arial"/>
          <w:sz w:val="20"/>
          <w:szCs w:val="20"/>
        </w:rPr>
        <w:t xml:space="preserve">Cumplimiento normativo SWIFT, ISO 27001 y BIS: 100%.</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 Objetivo</w:t>
      </w:r>
    </w:p>
    <w:p>
      <w:pPr>
        <w:spacing w:after="60" w:before="60"/>
        <w:jc w:val="both"/>
      </w:pPr>
      <w:r>
        <w:rPr>
          <w:rFonts w:ascii="Arial" w:cs="Arial" w:eastAsia="Arial" w:hAnsi="Arial"/>
          <w:sz w:val="20"/>
          <w:szCs w:val="20"/>
        </w:rPr>
        <w:t xml:space="preserve">El objetivo del sistema de gobierno de TI no se debe pensar solo en términos de ‘instalar un software o gestionar servidores’. Es una declaración de alto nivel que conecta la estrategia del negocio con las capacidades tecnológicas. En el caso del BCRP, el objetivo del EGIT está directamente vinculado con la misión constitucional del Banco establecida en el Artículo 84° de la Constitución Política del Perú.</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Objetivo del EGIT – BCRP</w:t>
            </w:r>
          </w:p>
          <w:p>
            <w:pPr>
              <w:spacing w:after="60" w:before="0"/>
              <w:jc w:val="both"/>
            </w:pPr>
            <w:r>
              <w:rPr>
                <w:rFonts w:ascii="Arial" w:cs="Arial" w:eastAsia="Arial" w:hAnsi="Arial"/>
                <w:sz w:val="20"/>
                <w:szCs w:val="20"/>
              </w:rPr>
              <w:t xml:space="preserve">Implementar un Sistema de Gobierno de Tecnologías de Información en el Banco Central de Reserva del Perú, alineado con COBIT 2019, que permita garantizar que la TI genere valor y soporte la misión constitucional del Banco (preservar la estabilidad monetaria), controlar y optimizar los riesgos tecnológicos en sistemas críticos de pagos y ciberseguridad, asegurar el uso eficiente de los recursos tecnológicos e inversiones TI, y materializar los proyectos del PETI 2022–2026 con gobernanza estructurada, medible y supervisada por el Directorio.</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6. Comité de Gobierno</w:t>
      </w:r>
    </w:p>
    <w:p>
      <w:pPr>
        <w:spacing w:after="60" w:before="60"/>
        <w:jc w:val="both"/>
      </w:pPr>
      <w:r>
        <w:rPr>
          <w:rFonts w:ascii="Arial" w:cs="Arial" w:eastAsia="Arial" w:hAnsi="Arial"/>
          <w:sz w:val="20"/>
          <w:szCs w:val="20"/>
        </w:rPr>
        <w:t xml:space="preserve">El Comité de Gobierno es el cuerpo colegiado de máxima autoridad para la toma de decisiones tecnológicas estratégicas; su enfoque es el gobierno, es decir, asegurar que la tecnología esté alineada con los objetivos de la institución. En el dominio EDM de COBIT 2019, el Comité de Gobierno evalúa, dirige y monitorea el sistema de gobierno de TI del BCRP. Sus funciones principales son: aprobar las políticas institucionales de gobierno de TI, asegurar la asignación de presupuesto al portafolio PETI 2022-2026, supervisar el cumplimiento de las metas y beneficios esperados, y recibir reportes periódicos del valor generado por la TI.</w:t>
      </w:r>
    </w:p>
    <w:p>
      <w:pPr>
        <w:spacing w:after="60" w:before="60"/>
      </w:pPr>
      <w:r>
        <w:t xml:space="preserve"/>
      </w:r>
    </w:p>
    <w:p>
      <w:pPr>
        <w:spacing w:after="60" w:before="60"/>
        <w:jc w:val="both"/>
      </w:pPr>
      <w:r>
        <w:rPr>
          <w:rFonts w:ascii="Arial" w:cs="Arial" w:eastAsia="Arial" w:hAnsi="Arial"/>
          <w:sz w:val="20"/>
          <w:szCs w:val="20"/>
        </w:rPr>
        <w:t xml:space="preserve">En el BCRP, el Comité de Gobierno de TI es presidido por la Gerencia General e integrado por las gerencias misionales, la GTI y Auditoría Interna, conforme al marco del BIS sobre gobierno de tecnología en banca central y al Decreto Legislativo N° 1412 adaptado al régimen especial del Banco como institución autónoma constitucional.</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7. Equipos de Trabajo</w:t>
      </w:r>
    </w:p>
    <w:p>
      <w:pPr>
        <w:spacing w:after="60" w:before="60"/>
        <w:jc w:val="both"/>
      </w:pPr>
      <w:r>
        <w:rPr>
          <w:rFonts w:ascii="Arial" w:cs="Arial" w:eastAsia="Arial" w:hAnsi="Arial"/>
          <w:sz w:val="20"/>
          <w:szCs w:val="20"/>
        </w:rPr>
        <w:t xml:space="preserve">Los equipos de trabajo son los encargados de la ejecución técnica y operativa del sistema de gobierno de TI; su enfoque es la gestión. Transforman las directrices del Comité de Gobierno en servicios reales, sistemas funcionales, proyectos tecnológicos ejecutados y resultados medibles. En los dominios APO, BAI, DSS y MEA de COBIT 2019, el Equipo de Trabajo del BCRP planifica, construye, opera y monitorea los servicios tecnológicos institucionales, gestionando el portafolio de 10 proyectos estratégicos del PETI 2022-2026.</w:t>
      </w:r>
    </w:p>
    <w:p>
      <w:pPr>
        <w:spacing w:after="60" w:before="60"/>
      </w:pPr>
      <w:r>
        <w:t xml:space="preserve"/>
      </w:r>
    </w:p>
    <w:p>
      <w:pPr>
        <w:spacing w:after="60" w:before="60"/>
        <w:jc w:val="both"/>
      </w:pPr>
      <w:r>
        <w:rPr>
          <w:rFonts w:ascii="Arial" w:cs="Arial" w:eastAsia="Arial" w:hAnsi="Arial"/>
          <w:sz w:val="20"/>
          <w:szCs w:val="20"/>
        </w:rPr>
        <w:t xml:space="preserve">El Equipo de Trabajo del BCRP está liderado por el Gerente de la GTI (CIO), e integrado por el Especialista en Riesgos TI, el Consultor CGEIT, el Coordinador de Proyectos del PETI y el representante de Recursos Humanos para la gestión del cambio organizacional. Sus entregables son: la operación continua y segura de los sistemas críticos (LBTR, SIMC, SWIFT), la ejecución del portafolio de proyectos, el monitoreo de KPIs y el reporte de resultados al Comité de Gobierno.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Resultados de la Vista Motivacional – Situación que justifica el EGIT</w:t>
      </w:r>
    </w:p>
    <w:p>
      <w:pPr>
        <w:spacing w:after="60" w:before="60"/>
        <w:jc w:val="both"/>
      </w:pPr>
      <w:r>
        <w:rPr>
          <w:rFonts w:ascii="Arial" w:cs="Arial" w:eastAsia="Arial" w:hAnsi="Arial"/>
          <w:sz w:val="20"/>
          <w:szCs w:val="20"/>
        </w:rPr>
        <w:t xml:space="preserve">La vista motivacional del proyecto de Gobierno de TI del BCRP evidencia la siguientes situaciones que justifican la implementación urgente del EGIT bajo COBIT 2019:</w:t>
      </w:r>
    </w:p>
    <w:p>
      <w:pPr>
        <w:pStyle w:val="ListParagraph"/>
        <w:numPr>
          <w:ilvl w:val="0"/>
          <w:numId w:val="2"/>
        </w:numPr>
        <w:spacing w:after="40" w:before="40"/>
      </w:pPr>
      <w:r>
        <w:rPr>
          <w:rFonts w:ascii="Arial" w:cs="Arial" w:eastAsia="Arial" w:hAnsi="Arial"/>
          <w:sz w:val="20"/>
          <w:szCs w:val="20"/>
        </w:rPr>
        <w:t xml:space="preserve">Sistemas tecnológicos críticos (LBTR, SIMC) con tecnología desactualizada y riesgo operativo ALTO.</w:t>
      </w:r>
    </w:p>
    <w:p>
      <w:pPr>
        <w:pStyle w:val="ListParagraph"/>
        <w:numPr>
          <w:ilvl w:val="0"/>
          <w:numId w:val="2"/>
        </w:numPr>
        <w:spacing w:after="40" w:before="40"/>
      </w:pPr>
      <w:r>
        <w:rPr>
          <w:rFonts w:ascii="Arial" w:cs="Arial" w:eastAsia="Arial" w:hAnsi="Arial"/>
          <w:sz w:val="20"/>
          <w:szCs w:val="20"/>
        </w:rPr>
        <w:t xml:space="preserve">Ausencia de tercer data center: redundancia geográfica incompleta.</w:t>
      </w:r>
    </w:p>
    <w:p>
      <w:pPr>
        <w:pStyle w:val="ListParagraph"/>
        <w:numPr>
          <w:ilvl w:val="0"/>
          <w:numId w:val="2"/>
        </w:numPr>
        <w:spacing w:after="40" w:before="40"/>
      </w:pPr>
      <w:r>
        <w:rPr>
          <w:rFonts w:ascii="Arial" w:cs="Arial" w:eastAsia="Arial" w:hAnsi="Arial"/>
          <w:sz w:val="20"/>
          <w:szCs w:val="20"/>
        </w:rPr>
        <w:t xml:space="preserve">Ciberseguridad insuficiente ante ataques sofisticados al sistema financiero nacional.</w:t>
      </w:r>
    </w:p>
    <w:p>
      <w:pPr>
        <w:pStyle w:val="ListParagraph"/>
        <w:numPr>
          <w:ilvl w:val="0"/>
          <w:numId w:val="2"/>
        </w:numPr>
        <w:spacing w:after="40" w:before="40"/>
      </w:pPr>
      <w:r>
        <w:rPr>
          <w:rFonts w:ascii="Arial" w:cs="Arial" w:eastAsia="Arial" w:hAnsi="Arial"/>
          <w:sz w:val="20"/>
          <w:szCs w:val="20"/>
        </w:rPr>
        <w:t xml:space="preserve">Capacidades de big data e IA en desarrollo, no completamente desplegadas.</w:t>
      </w:r>
    </w:p>
    <w:p>
      <w:pPr>
        <w:pStyle w:val="ListParagraph"/>
        <w:numPr>
          <w:ilvl w:val="0"/>
          <w:numId w:val="2"/>
        </w:numPr>
        <w:spacing w:after="40" w:before="40"/>
      </w:pPr>
      <w:r>
        <w:rPr>
          <w:rFonts w:ascii="Arial" w:cs="Arial" w:eastAsia="Arial" w:hAnsi="Arial"/>
          <w:sz w:val="20"/>
          <w:szCs w:val="20"/>
        </w:rPr>
        <w:t xml:space="preserve">Ausencia de Sistema Formal de Gobierno de TI (EGIT) estructurado bajo COBIT 2019.</w:t>
      </w:r>
    </w:p>
    <w:p>
      <w:pPr>
        <w:pStyle w:val="ListParagraph"/>
        <w:numPr>
          <w:ilvl w:val="0"/>
          <w:numId w:val="2"/>
        </w:numPr>
        <w:spacing w:after="40" w:before="40"/>
      </w:pPr>
      <w:r>
        <w:rPr>
          <w:rFonts w:ascii="Arial" w:cs="Arial" w:eastAsia="Arial" w:hAnsi="Arial"/>
          <w:sz w:val="20"/>
          <w:szCs w:val="20"/>
        </w:rPr>
        <w:t xml:space="preserve">Cumplimiento incompleto de estándares internacionales (ISO 27001, SWIFT CSP, BIS).</w:t>
      </w:r>
    </w:p>
    <w:p>
      <w:pPr>
        <w:spacing w:after="60" w:before="60"/>
      </w:pPr>
      <w:r>
        <w:t xml:space="preserve"/>
      </w:r>
    </w:p>
    <w:p>
      <w:pPr>
        <w:spacing w:after="60" w:before="60"/>
        <w:jc w:val="both"/>
      </w:pPr>
      <w:r>
        <w:rPr>
          <w:rFonts w:ascii="Arial" w:cs="Arial" w:eastAsia="Arial" w:hAnsi="Arial"/>
          <w:sz w:val="20"/>
          <w:szCs w:val="20"/>
        </w:rPr>
        <w:t xml:space="preserve">Estos hallazgos, documentados en el PETI BCRP 2022–2026, son el punto de partida del sistema de gobierno de TI y justifican la conformación del Comité de Gobierno, la priorización de los 10 proyectos estratégicos y la activación de los procesos COBIT 2019 que se detallan en las fases siguientes.</w:t>
      </w:r>
    </w:p>
    <w:p>
      <w:pPr>
        <w:spacing w:after="60" w:before="60"/>
      </w:pPr>
      <w:r>
        <w:t xml:space="preserve"/>
      </w:r>
    </w:p>
    <w:p>
      <w:r>
        <w:br w:type="page"/>
      </w:r>
    </w:p>
    <w:p>
      <w:pPr>
        <w:shd w:fill="1F3864" w:val="clear"/>
        <w:spacing w:after="140" w:before="280"/>
        <w:ind w:left="160" w:right="160"/>
      </w:pPr>
      <w:r>
        <w:rPr>
          <w:rFonts w:ascii="Arial" w:cs="Arial" w:eastAsia="Arial" w:hAnsi="Arial"/>
          <w:b/>
          <w:bCs/>
          <w:color w:val="FFFFFF"/>
          <w:sz w:val="28"/>
          <w:szCs w:val="28"/>
        </w:rPr>
        <w:t xml:space="preserve">FASE 2: ¿ADÓNDE ESTAMOS AHORA? (AS-IS)</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1. OBJETIVO DEL DIAGNÓSTICO</w:t>
      </w:r>
    </w:p>
    <w:p>
      <w:pPr>
        <w:spacing w:after="60" w:before="60"/>
        <w:jc w:val="both"/>
      </w:pPr>
      <w:r>
        <w:rPr>
          <w:rFonts w:ascii="Arial" w:cs="Arial" w:eastAsia="Arial" w:hAnsi="Arial"/>
          <w:sz w:val="20"/>
          <w:szCs w:val="20"/>
        </w:rPr>
        <w:t xml:space="preserve">Determinar la situación actual de la gestión tecnológica del Banco Central de Reserva del Perú, evaluando sus dimensiones estratégicas, operativas y de control, con la finalidad de identificar fortalezas, debilidades, limitaciones y brechas que impactan el cumplimiento de la misión constitucional del Banco y la prestación de servicios tecnológicos críticos al sistema financiero nacional.</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2. DIMENSIONES A EVALUAR EN EL AS-IS</w:t>
      </w:r>
    </w:p>
    <w:p>
      <w:pPr>
        <w:pStyle w:val="ListParagraph"/>
        <w:numPr>
          <w:ilvl w:val="0"/>
          <w:numId w:val="2"/>
        </w:numPr>
        <w:spacing w:after="40" w:before="40"/>
      </w:pPr>
      <w:r>
        <w:rPr>
          <w:rFonts w:ascii="Arial" w:cs="Arial" w:eastAsia="Arial" w:hAnsi="Arial"/>
          <w:sz w:val="20"/>
          <w:szCs w:val="20"/>
        </w:rPr>
        <w:t xml:space="preserve">Procesos de TI.</w:t>
      </w:r>
    </w:p>
    <w:p>
      <w:pPr>
        <w:pStyle w:val="ListParagraph"/>
        <w:numPr>
          <w:ilvl w:val="0"/>
          <w:numId w:val="2"/>
        </w:numPr>
        <w:spacing w:after="40" w:before="40"/>
      </w:pPr>
      <w:r>
        <w:rPr>
          <w:rFonts w:ascii="Arial" w:cs="Arial" w:eastAsia="Arial" w:hAnsi="Arial"/>
          <w:sz w:val="20"/>
          <w:szCs w:val="20"/>
        </w:rPr>
        <w:t xml:space="preserve">Estructura organizativa y gobierno.</w:t>
      </w:r>
    </w:p>
    <w:p>
      <w:pPr>
        <w:pStyle w:val="ListParagraph"/>
        <w:numPr>
          <w:ilvl w:val="0"/>
          <w:numId w:val="2"/>
        </w:numPr>
        <w:spacing w:after="40" w:before="40"/>
      </w:pPr>
      <w:r>
        <w:rPr>
          <w:rFonts w:ascii="Arial" w:cs="Arial" w:eastAsia="Arial" w:hAnsi="Arial"/>
          <w:sz w:val="20"/>
          <w:szCs w:val="20"/>
        </w:rPr>
        <w:t xml:space="preserve">Tecnología e infraestructura.</w:t>
      </w:r>
    </w:p>
    <w:p>
      <w:pPr>
        <w:pStyle w:val="ListParagraph"/>
        <w:numPr>
          <w:ilvl w:val="0"/>
          <w:numId w:val="2"/>
        </w:numPr>
        <w:spacing w:after="40" w:before="40"/>
      </w:pPr>
      <w:r>
        <w:rPr>
          <w:rFonts w:ascii="Arial" w:cs="Arial" w:eastAsia="Arial" w:hAnsi="Arial"/>
          <w:sz w:val="20"/>
          <w:szCs w:val="20"/>
        </w:rPr>
        <w:t xml:space="preserve">Seguridad y control.</w:t>
      </w:r>
    </w:p>
    <w:p>
      <w:pPr>
        <w:pStyle w:val="ListParagraph"/>
        <w:numPr>
          <w:ilvl w:val="0"/>
          <w:numId w:val="2"/>
        </w:numPr>
        <w:spacing w:after="40" w:before="40"/>
      </w:pPr>
      <w:r>
        <w:rPr>
          <w:rFonts w:ascii="Arial" w:cs="Arial" w:eastAsia="Arial" w:hAnsi="Arial"/>
          <w:sz w:val="20"/>
          <w:szCs w:val="20"/>
        </w:rPr>
        <w:t xml:space="preserve">Nivel de madurez.</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2.1. DIMENSIÓN: PROCESOS DE TI</w:t>
      </w:r>
    </w:p>
    <w:p>
      <w:pPr>
        <w:spacing w:after="60" w:before="60"/>
        <w:jc w:val="both"/>
      </w:pPr>
      <w:r>
        <w:rPr>
          <w:rFonts w:ascii="Arial" w:cs="Arial" w:eastAsia="Arial" w:hAnsi="Arial"/>
          <w:sz w:val="20"/>
          <w:szCs w:val="20"/>
        </w:rPr>
        <w:t xml:space="preserve">Se analizó cómo funcionan actualmente los procesos tecnológicos del BCRP, con énfasis en la gestión de sistemas críticos (LBTR, SIMC, SWIFT), soporte técnico, integración de plataformas de datos y continuidad operativa.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ÁREAS INVOLUCRADAS</w:t>
            </w:r>
          </w:p>
        </w:tc>
        <w:tc>
          <w:tcPr>
            <w:tcW w:type="dxa" w:w="6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NEGATIVO EN SUS FUNCIONES SI NO SE MEJORA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Operaciones Monetarias y Estabilidad Financiera (GOMEF)</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Depende directamente del LBTR para ejecutar operaciones monetarias y supervisar el sistema de pagos. Si el LBTR falla o presenta lentitud, la GOMEF no puede liquidar operaciones interbancarias críticas en tiempo real, paralizando la ejecución de política monetaria (OE4).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Estudios Económicos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Utiliza las bases de datos de balanza de pagos y mercado laboral para elaborar modelos de proyección macroeconómica. Sin integración de plataformas estadísticas, sus análisis se retrasan y pierden precisión, afectando la calidad de la información que el BCRP publica y usa para tomar decisiones de política monetaria (OE1, OE2).</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Reservas Internacionales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Gestiona la cartera de inversiones internacionales del Perú. Sin datamarts integrados ni datos estadísticos en tiempo real, no puede ejecutar análisis de riesgo-rendimiento ni tomar decisiones de inversión oportunas, comprometiendo la rentabilidad y seguridad de las reservas (OE5).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Política Monetaria</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Requiere datos macroeconómicos actualizados y modelos integrados para formular las decisiones de tasa de interés de referencia. Sin integración de sistemas, los informes de inflación y proyecciones presentan rezagos que dificultan la toma de decisiones oportunas (OE1).</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Gestión del Circulante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Gestiona la emisión y retiro de billetes y monedas. El SIMC desactualizado limita la coordinación entre operaciones monetarias y cambiarias con la gestión del circulante, generando ineficiencias en la ejecución de instrumentos monetarios (OE6).</w:t>
            </w:r>
          </w:p>
        </w:tc>
      </w:tr>
    </w:tbl>
    <w:p>
      <w:pPr>
        <w:spacing w:after="60" w:before="60"/>
      </w:pPr>
      <w:r>
        <w:t xml:space="preserve"/>
      </w:r>
    </w:p>
    <w:p>
      <w:pPr>
        <w:spacing w:after="60" w:before="60"/>
        <w:jc w:val="both"/>
      </w:pPr>
      <w:r>
        <w:rPr>
          <w:rFonts w:ascii="Arial" w:cs="Arial" w:eastAsia="Arial" w:hAnsi="Arial"/>
          <w:b/>
          <w:bCs/>
          <w:sz w:val="20"/>
          <w:szCs w:val="20"/>
        </w:rPr>
        <w:t xml:space="preserve">Situación encontrada:</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Sistema LBTR operativo con tecnología que requiere renovación urgente: el sistema de pagos interbancario crítico opera con plataforma desactualizada, generando riesgo de continuidad operativa para el sistema financiero nacional (PETI BCRP, p. 8).</w:t>
      </w:r>
    </w:p>
    <w:p>
      <w:pPr>
        <w:pStyle w:val="ListParagraph"/>
        <w:numPr>
          <w:ilvl w:val="0"/>
          <w:numId w:val="2"/>
        </w:numPr>
        <w:spacing w:after="40" w:before="40"/>
      </w:pPr>
      <w:r>
        <w:rPr>
          <w:rFonts w:ascii="Arial" w:cs="Arial" w:eastAsia="Arial" w:hAnsi="Arial"/>
          <w:sz w:val="20"/>
          <w:szCs w:val="20"/>
        </w:rPr>
        <w:t xml:space="preserve">Integración limitada entre plataformas de datos estadísticos: las bases de datos sectoriales (balanza de pagos, mercado laboral) no están completamente integradas, dificultando la analítica macroeconómica en tiempo real requerida por las gerencias misionales (PETI BCRP, pp. 9-10).</w:t>
      </w:r>
    </w:p>
    <w:p>
      <w:pPr>
        <w:pStyle w:val="ListParagraph"/>
        <w:numPr>
          <w:ilvl w:val="0"/>
          <w:numId w:val="2"/>
        </w:numPr>
        <w:spacing w:after="40" w:before="40"/>
      </w:pPr>
      <w:r>
        <w:rPr>
          <w:rFonts w:ascii="Arial" w:cs="Arial" w:eastAsia="Arial" w:hAnsi="Arial"/>
          <w:sz w:val="20"/>
          <w:szCs w:val="20"/>
        </w:rPr>
        <w:t xml:space="preserve">Sistema SIMC requiere modernización: el sistema de instrumentos monetarios y cambiarios opera pero con tecnología que limita la innovación (PETI BCRP, p. 8).</w:t>
      </w:r>
    </w:p>
    <w:p>
      <w:pPr>
        <w:pStyle w:val="ListParagraph"/>
        <w:numPr>
          <w:ilvl w:val="0"/>
          <w:numId w:val="2"/>
        </w:numPr>
        <w:spacing w:after="40" w:before="40"/>
      </w:pPr>
      <w:r>
        <w:rPr>
          <w:rFonts w:ascii="Arial" w:cs="Arial" w:eastAsia="Arial" w:hAnsi="Arial"/>
          <w:sz w:val="20"/>
          <w:szCs w:val="20"/>
        </w:rPr>
        <w:t xml:space="preserve">Gestión del conocimiento no completamente digitalizada: GESCON básico; actas del Directorio no digitalizadas completamente, afectando la gestión del conocimiento institucional.</w:t>
      </w:r>
    </w:p>
    <w:p>
      <w:pPr>
        <w:spacing w:after="60" w:before="60"/>
      </w:pPr>
      <w:r>
        <w:t xml:space="preserve"/>
      </w:r>
    </w:p>
    <w:p>
      <w:pPr>
        <w:spacing w:after="60" w:before="60"/>
        <w:jc w:val="both"/>
      </w:pPr>
      <w:r>
        <w:rPr>
          <w:rFonts w:ascii="Arial" w:cs="Arial" w:eastAsia="Arial" w:hAnsi="Arial"/>
          <w:b/>
          <w:bCs/>
          <w:sz w:val="20"/>
          <w:szCs w:val="20"/>
        </w:rPr>
        <w:t xml:space="preserve">Evidencia o sustento: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 PETI BCRP 2022-2026 (pp. 8-12) documenta las brechas de capacidad TI: Sistema LBTR y SIMC en estado operativo pero tecnología desactualizada.</w:t>
      </w:r>
    </w:p>
    <w:p>
      <w:pPr>
        <w:pStyle w:val="ListParagraph"/>
        <w:numPr>
          <w:ilvl w:val="0"/>
          <w:numId w:val="2"/>
        </w:numPr>
        <w:spacing w:after="40" w:before="40"/>
      </w:pPr>
      <w:r>
        <w:rPr>
          <w:rFonts w:ascii="Arial" w:cs="Arial" w:eastAsia="Arial" w:hAnsi="Arial"/>
          <w:sz w:val="20"/>
          <w:szCs w:val="20"/>
        </w:rPr>
        <w:t xml:space="preserve">El cuadro de capacidades actuales vs. requeridas del PETI identifica brecha ALTA en modernización de LBTR y sistemas estadísticos.</w:t>
      </w:r>
    </w:p>
    <w:p>
      <w:pPr>
        <w:pStyle w:val="ListParagraph"/>
        <w:numPr>
          <w:ilvl w:val="0"/>
          <w:numId w:val="2"/>
        </w:numPr>
        <w:spacing w:after="40" w:before="40"/>
      </w:pPr>
      <w:r>
        <w:rPr>
          <w:rFonts w:ascii="Arial" w:cs="Arial" w:eastAsia="Arial" w:hAnsi="Arial"/>
          <w:sz w:val="20"/>
          <w:szCs w:val="20"/>
        </w:rPr>
        <w:t xml:space="preserve">El Plan Estratégico BCRP 2022-2026 (OE4) establece explícitamente la necesidad de Modernización del SIMC y Nuevo Sistema LBTR como actividades estratégicas.</w:t>
      </w:r>
    </w:p>
    <w:p>
      <w:pPr>
        <w:spacing w:after="60" w:before="60"/>
      </w:pPr>
      <w:r>
        <w:t xml:space="preserve"/>
      </w:r>
    </w:p>
    <w:p>
      <w:pPr>
        <w:spacing w:after="60" w:before="60"/>
        <w:jc w:val="both"/>
      </w:pPr>
      <w:r>
        <w:rPr>
          <w:rFonts w:ascii="Arial" w:cs="Arial" w:eastAsia="Arial" w:hAnsi="Arial"/>
          <w:b/>
          <w:bCs/>
          <w:sz w:val="20"/>
          <w:szCs w:val="20"/>
        </w:rPr>
        <w:t xml:space="preserve">Análisis de impacto: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Riesgo operativo significativo para el cumplimiento de la misión constitucional del Banco (preservar la estabilidad monetaria).</w:t>
      </w:r>
    </w:p>
    <w:p>
      <w:pPr>
        <w:pStyle w:val="ListParagraph"/>
        <w:numPr>
          <w:ilvl w:val="0"/>
          <w:numId w:val="2"/>
        </w:numPr>
        <w:spacing w:after="40" w:before="40"/>
      </w:pPr>
      <w:r>
        <w:rPr>
          <w:rFonts w:ascii="Arial" w:cs="Arial" w:eastAsia="Arial" w:hAnsi="Arial"/>
          <w:sz w:val="20"/>
          <w:szCs w:val="20"/>
        </w:rPr>
        <w:t xml:space="preserve">Limitación para generar información macroeconómica de calidad en tiempo real (OE2 del Plan Estratégico).</w:t>
      </w:r>
    </w:p>
    <w:p>
      <w:pPr>
        <w:pStyle w:val="ListParagraph"/>
        <w:numPr>
          <w:ilvl w:val="0"/>
          <w:numId w:val="2"/>
        </w:numPr>
        <w:spacing w:after="40" w:before="40"/>
      </w:pPr>
      <w:r>
        <w:rPr>
          <w:rFonts w:ascii="Arial" w:cs="Arial" w:eastAsia="Arial" w:hAnsi="Arial"/>
          <w:sz w:val="20"/>
          <w:szCs w:val="20"/>
        </w:rPr>
        <w:t xml:space="preserve">Restricción en la innovación de instrumentos monetarios y cambiarios (OE4).</w:t>
      </w:r>
    </w:p>
    <w:p>
      <w:pPr>
        <w:spacing w:after="60" w:before="60"/>
      </w:pPr>
      <w:r>
        <w:t xml:space="preserve"/>
      </w:r>
    </w:p>
    <w:p>
      <w:pPr>
        <w:spacing w:after="60" w:before="60"/>
        <w:jc w:val="both"/>
      </w:pPr>
      <w:r>
        <w:rPr>
          <w:rFonts w:ascii="Arial" w:cs="Arial" w:eastAsia="Arial" w:hAnsi="Arial"/>
          <w:b/>
          <w:bCs/>
          <w:sz w:val="20"/>
          <w:szCs w:val="20"/>
        </w:rPr>
        <w:t xml:space="preserve">Valoración del nivel actual: </w:t>
      </w:r>
      <w:r>
        <w:rPr>
          <w:rFonts w:ascii="Arial" w:cs="Arial" w:eastAsia="Arial" w:hAnsi="Arial"/>
          <w:sz w:val="20"/>
          <w:szCs w:val="20"/>
        </w:rPr>
        <w:t xml:space="preserve">Los procesos TI críticos (LBTR, SIMC) están operativos pero con brechas significativas de modernización y con integración limitada entre plataformas.</w:t>
      </w:r>
    </w:p>
    <w:p>
      <w:pPr>
        <w:spacing w:after="60" w:before="60"/>
        <w:jc w:val="both"/>
      </w:pPr>
      <w:r>
        <w:rPr>
          <w:rFonts w:ascii="Arial" w:cs="Arial" w:eastAsia="Arial" w:hAnsi="Arial"/>
          <w:sz w:val="20"/>
          <w:szCs w:val="20"/>
        </w:rPr>
        <w:t xml:space="preserve">Nivel 2 – Procesos ejecutados y operativos, pero con brechas críticas de modernización e integración parcial.</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2.2. DIMENSIÓN: ESTRUCTURA ORGANIZATIVA Y GOBIERNO</w:t>
      </w:r>
    </w:p>
    <w:p>
      <w:pPr>
        <w:spacing w:after="60" w:before="60"/>
        <w:jc w:val="both"/>
      </w:pPr>
      <w:r>
        <w:rPr>
          <w:rFonts w:ascii="Arial" w:cs="Arial" w:eastAsia="Arial" w:hAnsi="Arial"/>
          <w:sz w:val="20"/>
          <w:szCs w:val="20"/>
        </w:rPr>
        <w:t xml:space="preserve">Se evaluó si existe una estructura formal de gobierno y toma de decisiones tecnológicas en el BCRP.</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ÁREAS INVOLUCRADAS</w:t>
            </w:r>
          </w:p>
        </w:tc>
        <w:tc>
          <w:tcPr>
            <w:tcW w:type="dxa" w:w="6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NEGATIVO EN SUS FUNCIONES SI NO SE MEJORA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Todas las Gerencias Misionales (GOMEF, Estudios Económicos, Reservas, Circulante)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Comité de Gobierno de TI formal, las gerencias misionales no tienen un canal institucionalizado para presentar sus necesidades tecnológicas estratégicas. Sus requerimientos se atienden de forma reactiva y sin prioridad estratégica, retrasando proyectos críticos como el nuevo LBTR y los datamarts (OE4, OE5).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Planeamiento y Presupuesto</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portafolio formal de proyectos TI con gobernanza estructurada, la asignación presupuestal a proyectos tecnológicos carece de criterios estratégicos. Se pierde trazabilidad del retorno de las inversiones en TI y se dificulta la planificación multianual del PETI 2022-2026.</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Riesgos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EGIT formal, la gestión de riesgos tecnológicos no se integra con el marco general de riesgos institucionales del BCRP. Los riesgos operativos de TI (LBTR, SIMC, ciberseguridad) no se reportan ni gestionan con la formalidad requerida por el OE14.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Auditoría Interna</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mecanismos formales de gobierno de TI (EDM), Auditoría Interna no cuenta con un marco estructurado para evaluar el control interno tecnológico, dificultando el aseguramiento del cumplimiento normativo (SWIFT, ISO 27001, BIS) y la rendición de cuentas al Directorio.</w:t>
            </w:r>
          </w:p>
        </w:tc>
      </w:tr>
    </w:tbl>
    <w:p>
      <w:pPr>
        <w:spacing w:after="60" w:before="60"/>
      </w:pPr>
      <w:r>
        <w:t xml:space="preserve"/>
      </w:r>
    </w:p>
    <w:p>
      <w:pPr>
        <w:spacing w:after="60" w:before="60"/>
        <w:jc w:val="both"/>
      </w:pPr>
      <w:r>
        <w:rPr>
          <w:rFonts w:ascii="Arial" w:cs="Arial" w:eastAsia="Arial" w:hAnsi="Arial"/>
          <w:b/>
          <w:bCs/>
          <w:sz w:val="20"/>
          <w:szCs w:val="20"/>
        </w:rPr>
        <w:t xml:space="preserve">Situación encontrada:</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La Gerencia de Tecnologías de Información (GTI) existe como área estratégica formal dentro del BCRP, con rol estratégico definido en el ROF.</w:t>
      </w:r>
    </w:p>
    <w:p>
      <w:pPr>
        <w:pStyle w:val="ListParagraph"/>
        <w:numPr>
          <w:ilvl w:val="0"/>
          <w:numId w:val="2"/>
        </w:numPr>
        <w:spacing w:after="40" w:before="40"/>
      </w:pPr>
      <w:r>
        <w:rPr>
          <w:rFonts w:ascii="Arial" w:cs="Arial" w:eastAsia="Arial" w:hAnsi="Arial"/>
          <w:sz w:val="20"/>
          <w:szCs w:val="20"/>
        </w:rPr>
        <w:t xml:space="preserve">No existe un Sistema Formal de Gobierno de TI (EGIT) estructurado bajo estándares internacionales (COBIT 2019): las decisiones tecnológicas, aunque involucran a la alta dirección, no siguen un marco formalizado de EDM (Evaluar, Dirigir, Monitorear).</w:t>
      </w:r>
    </w:p>
    <w:p>
      <w:pPr>
        <w:pStyle w:val="ListParagraph"/>
        <w:numPr>
          <w:ilvl w:val="0"/>
          <w:numId w:val="2"/>
        </w:numPr>
        <w:spacing w:after="40" w:before="40"/>
      </w:pPr>
      <w:r>
        <w:rPr>
          <w:rFonts w:ascii="Arial" w:cs="Arial" w:eastAsia="Arial" w:hAnsi="Arial"/>
          <w:sz w:val="20"/>
          <w:szCs w:val="20"/>
        </w:rPr>
        <w:t xml:space="preserve">El portafolio de proyectos TI (PETI 2022-2026) está definido, pero requiere una gobernanza estructurada y medible para su ejecución.</w:t>
      </w:r>
    </w:p>
    <w:p>
      <w:pPr>
        <w:pStyle w:val="ListParagraph"/>
        <w:numPr>
          <w:ilvl w:val="0"/>
          <w:numId w:val="2"/>
        </w:numPr>
        <w:spacing w:after="40" w:before="40"/>
      </w:pPr>
      <w:r>
        <w:rPr>
          <w:rFonts w:ascii="Arial" w:cs="Arial" w:eastAsia="Arial" w:hAnsi="Arial"/>
          <w:sz w:val="20"/>
          <w:szCs w:val="20"/>
        </w:rPr>
        <w:t xml:space="preserve">Los roles y responsabilidades de gobierno de TI no están completamente formalizados bajo COBIT 2019.</w:t>
      </w:r>
    </w:p>
    <w:p>
      <w:pPr>
        <w:spacing w:after="60" w:before="60"/>
      </w:pPr>
      <w:r>
        <w:t xml:space="preserve"/>
      </w:r>
    </w:p>
    <w:p>
      <w:pPr>
        <w:spacing w:after="60" w:before="60"/>
        <w:jc w:val="both"/>
      </w:pPr>
      <w:r>
        <w:rPr>
          <w:rFonts w:ascii="Arial" w:cs="Arial" w:eastAsia="Arial" w:hAnsi="Arial"/>
          <w:b/>
          <w:bCs/>
          <w:sz w:val="20"/>
          <w:szCs w:val="20"/>
        </w:rPr>
        <w:t xml:space="preserve">Evidencia o sustento: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 PETI BCRP 2022-2026 establece la necesidad de materializar los proyectos del PETI con una gobernanza estructurada y medible (p. 1).</w:t>
      </w:r>
    </w:p>
    <w:p>
      <w:pPr>
        <w:pStyle w:val="ListParagraph"/>
        <w:numPr>
          <w:ilvl w:val="0"/>
          <w:numId w:val="2"/>
        </w:numPr>
        <w:spacing w:after="40" w:before="40"/>
      </w:pPr>
      <w:r>
        <w:rPr>
          <w:rFonts w:ascii="Arial" w:cs="Arial" w:eastAsia="Arial" w:hAnsi="Arial"/>
          <w:sz w:val="20"/>
          <w:szCs w:val="20"/>
        </w:rPr>
        <w:t xml:space="preserve">El Plan Estratégico BCRP 2022-2026 (OE14) establece explícitamente Desplegar la gestión de riesgos a todos los procesos del Banco como objetivo estratégico.</w:t>
      </w:r>
    </w:p>
    <w:p>
      <w:pPr>
        <w:spacing w:after="60" w:before="60"/>
      </w:pPr>
      <w:r>
        <w:t xml:space="preserve"/>
      </w:r>
    </w:p>
    <w:p>
      <w:pPr>
        <w:spacing w:after="60" w:before="60"/>
        <w:jc w:val="both"/>
      </w:pPr>
      <w:r>
        <w:rPr>
          <w:rFonts w:ascii="Arial" w:cs="Arial" w:eastAsia="Arial" w:hAnsi="Arial"/>
          <w:b/>
          <w:bCs/>
          <w:sz w:val="20"/>
          <w:szCs w:val="20"/>
        </w:rPr>
        <w:t xml:space="preserve">Análisis de impacto: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Sin un sistema formal de gobierno de TI, las inversiones tecnológicas no tienen aseguramiento de alineación con la estrategia institucional.</w:t>
      </w:r>
    </w:p>
    <w:p>
      <w:pPr>
        <w:pStyle w:val="ListParagraph"/>
        <w:numPr>
          <w:ilvl w:val="0"/>
          <w:numId w:val="2"/>
        </w:numPr>
        <w:spacing w:after="40" w:before="40"/>
      </w:pPr>
      <w:r>
        <w:rPr>
          <w:rFonts w:ascii="Arial" w:cs="Arial" w:eastAsia="Arial" w:hAnsi="Arial"/>
          <w:sz w:val="20"/>
          <w:szCs w:val="20"/>
        </w:rPr>
        <w:t xml:space="preserve">Riesgo de que los proyectos del PETI no se ejecuten con la gobernanza, control y medición de resultados requeridos por el Directorio.</w:t>
      </w:r>
    </w:p>
    <w:p>
      <w:pPr>
        <w:pStyle w:val="ListParagraph"/>
        <w:numPr>
          <w:ilvl w:val="0"/>
          <w:numId w:val="2"/>
        </w:numPr>
        <w:spacing w:after="40" w:before="40"/>
      </w:pPr>
      <w:r>
        <w:rPr>
          <w:rFonts w:ascii="Arial" w:cs="Arial" w:eastAsia="Arial" w:hAnsi="Arial"/>
          <w:sz w:val="20"/>
          <w:szCs w:val="20"/>
        </w:rPr>
        <w:t xml:space="preserve">Dificultad para reportar valor de TI a la Alta Dirección de manera estructurada y medible.</w:t>
      </w:r>
    </w:p>
    <w:p>
      <w:pPr>
        <w:spacing w:after="60" w:before="60"/>
      </w:pPr>
      <w:r>
        <w:t xml:space="preserve"/>
      </w:r>
    </w:p>
    <w:p>
      <w:pPr>
        <w:spacing w:after="60" w:before="60"/>
        <w:jc w:val="both"/>
      </w:pPr>
      <w:r>
        <w:rPr>
          <w:rFonts w:ascii="Arial" w:cs="Arial" w:eastAsia="Arial" w:hAnsi="Arial"/>
          <w:b/>
          <w:bCs/>
          <w:sz w:val="20"/>
          <w:szCs w:val="20"/>
        </w:rPr>
        <w:t xml:space="preserve">Valoración del nivel actual: </w:t>
      </w:r>
      <w:r>
        <w:rPr>
          <w:rFonts w:ascii="Arial" w:cs="Arial" w:eastAsia="Arial" w:hAnsi="Arial"/>
          <w:sz w:val="20"/>
          <w:szCs w:val="20"/>
        </w:rPr>
        <w:t xml:space="preserve">Estructura organizativa de TI sólida y portafolio de proyectos definido, pero sin sistema formal EGIT bajo COBIT 2019.</w:t>
      </w:r>
    </w:p>
    <w:p>
      <w:pPr>
        <w:spacing w:after="60" w:before="60"/>
        <w:jc w:val="both"/>
      </w:pPr>
      <w:r>
        <w:rPr>
          <w:rFonts w:ascii="Arial" w:cs="Arial" w:eastAsia="Arial" w:hAnsi="Arial"/>
          <w:sz w:val="20"/>
          <w:szCs w:val="20"/>
        </w:rPr>
        <w:t xml:space="preserve">Nivel 1-2 – Estructura organizativa de TI definida y portafolio de proyectos establecido, sin gobierno formal EGIT estructurado.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2.3. DIMENSIÓN: TECNOLOGÍA E INFRAESTRUCTURA</w:t>
      </w:r>
    </w:p>
    <w:p>
      <w:pPr>
        <w:spacing w:after="60" w:before="60"/>
        <w:jc w:val="both"/>
      </w:pPr>
      <w:r>
        <w:rPr>
          <w:rFonts w:ascii="Arial" w:cs="Arial" w:eastAsia="Arial" w:hAnsi="Arial"/>
          <w:sz w:val="20"/>
          <w:szCs w:val="20"/>
        </w:rPr>
        <w:t xml:space="preserve">Se evaluó el estado de los recursos tecnológicos e infraestructura disponibles en el BCRP.</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ÁREAS INVOLUCRADAS</w:t>
            </w:r>
          </w:p>
        </w:tc>
        <w:tc>
          <w:tcPr>
            <w:tcW w:type="dxa" w:w="6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NEGATIVO EN SUS FUNCIONES SI NO SE MEJORA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Operaciones Monetarias y Estabilidad Financiera (GOMEF)</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tercer data center, una falla simultánea de ambos centros de datos dejaría sin soporte al LBTR y al SIMC. La GOMEF no podría ejecutar ni liquidar operaciones monetarias e interbancarias, paralizando el sistema de pagos nacional (OE4).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Estudios Económicos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infraestructura de big data e IA completamente desplegada, la Gerencia de Estudios no puede aplicar técnicas avanzadas de análisis de datos (web scraping, analítica predictiva) para compilar estadísticas macroeconómicas modernas ni elaborar modelos con grandes bases de datos (OE1, OE2).</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Reservas Internacionales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datamarts plenamente operativos, la Gerencia no puede acceder a análisis de riesgo-rendimiento de portafolios de inversión en tiempo real. Esto limita la toma de decisiones tácticas y estratégicas sobre la gestión de las reservas internacionales del Perú (OE5).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Recursos Humanos y Secretaría General</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Office 365 e Intranet colaborativa completamente desplegados, la gestión del talento, la capacitación virtual, el trabajo colaborativo y la gestión del conocimiento institucional (GESCON) operan con herramientas básicas que limitan la productividad y la retención de talento (OE9, OE11).</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Comunicaciones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portal web moderno ni infraestructura digital actualizada, la Gerencia no puede mejorar la comunicación del BCRP a nivel nacional ni ofrecer canales digitales efectivos para ciudadanos, sector financiero y medios de comunicación (OE7).</w:t>
            </w:r>
          </w:p>
        </w:tc>
      </w:tr>
    </w:tbl>
    <w:p>
      <w:pPr>
        <w:spacing w:after="60" w:before="60"/>
      </w:pPr>
      <w:r>
        <w:t xml:space="preserve"/>
      </w:r>
    </w:p>
    <w:p>
      <w:pPr>
        <w:spacing w:after="60" w:before="60"/>
        <w:jc w:val="both"/>
      </w:pPr>
      <w:r>
        <w:rPr>
          <w:rFonts w:ascii="Arial" w:cs="Arial" w:eastAsia="Arial" w:hAnsi="Arial"/>
          <w:b/>
          <w:bCs/>
          <w:sz w:val="20"/>
          <w:szCs w:val="20"/>
        </w:rPr>
        <w:t xml:space="preserve">Situación encontrada:</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Dos centros de datos operativos pero sin redundancia geográfica plena: riesgo de indisponibilidad total ante falla simultánea (PETI BCRP, p. 9, brecha ALTA).</w:t>
      </w:r>
    </w:p>
    <w:p>
      <w:pPr>
        <w:pStyle w:val="ListParagraph"/>
        <w:numPr>
          <w:ilvl w:val="0"/>
          <w:numId w:val="2"/>
        </w:numPr>
        <w:spacing w:after="40" w:before="40"/>
      </w:pPr>
      <w:r>
        <w:rPr>
          <w:rFonts w:ascii="Arial" w:cs="Arial" w:eastAsia="Arial" w:hAnsi="Arial"/>
          <w:sz w:val="20"/>
          <w:szCs w:val="20"/>
        </w:rPr>
        <w:t xml:space="preserve">Hardware y software corporativo en proceso de renovación: el PETI contempla la renovación de hardware y software corporativo como actividad estratégica (OE10).</w:t>
      </w:r>
    </w:p>
    <w:p>
      <w:pPr>
        <w:pStyle w:val="ListParagraph"/>
        <w:numPr>
          <w:ilvl w:val="0"/>
          <w:numId w:val="2"/>
        </w:numPr>
        <w:spacing w:after="40" w:before="40"/>
      </w:pPr>
      <w:r>
        <w:rPr>
          <w:rFonts w:ascii="Arial" w:cs="Arial" w:eastAsia="Arial" w:hAnsi="Arial"/>
          <w:sz w:val="20"/>
          <w:szCs w:val="20"/>
        </w:rPr>
        <w:t xml:space="preserve">Capacidades de big data e inteligencia artificial en desarrollo: herramientas analíticas y datamarts en etapa de implementación parcial (PETI BCRP, p. 10, brecha MEDIA).</w:t>
      </w:r>
    </w:p>
    <w:p>
      <w:pPr>
        <w:pStyle w:val="ListParagraph"/>
        <w:numPr>
          <w:ilvl w:val="0"/>
          <w:numId w:val="2"/>
        </w:numPr>
        <w:spacing w:after="40" w:before="40"/>
      </w:pPr>
      <w:r>
        <w:rPr>
          <w:rFonts w:ascii="Arial" w:cs="Arial" w:eastAsia="Arial" w:hAnsi="Arial"/>
          <w:sz w:val="20"/>
          <w:szCs w:val="20"/>
        </w:rPr>
        <w:t xml:space="preserve">Herramientas colaborativas (Office 365, Intranet) en proceso de despliegue completo: afecta la gestión del conocimiento institucional.</w:t>
      </w:r>
    </w:p>
    <w:p>
      <w:pPr>
        <w:spacing w:after="60" w:before="60"/>
      </w:pPr>
      <w:r>
        <w:t xml:space="preserve"/>
      </w:r>
    </w:p>
    <w:p>
      <w:pPr>
        <w:spacing w:after="60" w:before="60"/>
        <w:jc w:val="both"/>
      </w:pPr>
      <w:r>
        <w:rPr>
          <w:rFonts w:ascii="Arial" w:cs="Arial" w:eastAsia="Arial" w:hAnsi="Arial"/>
          <w:b/>
          <w:bCs/>
          <w:sz w:val="20"/>
          <w:szCs w:val="20"/>
        </w:rPr>
        <w:t xml:space="preserve">Evidencia o sustento: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 PETI BCRP 2022-2026 (Cuadro de Capacidades, pp. 9-10) documenta explícitamente las brechas: solo dos data centers (brecha ALTA), big data en desarrollo (brecha MEDIA), herramientas colaborativas básicas (brecha MEDIA).</w:t>
      </w:r>
    </w:p>
    <w:p>
      <w:pPr>
        <w:pStyle w:val="ListParagraph"/>
        <w:numPr>
          <w:ilvl w:val="0"/>
          <w:numId w:val="2"/>
        </w:numPr>
        <w:spacing w:after="40" w:before="40"/>
      </w:pPr>
      <w:r>
        <w:rPr>
          <w:rFonts w:ascii="Arial" w:cs="Arial" w:eastAsia="Arial" w:hAnsi="Arial"/>
          <w:sz w:val="20"/>
          <w:szCs w:val="20"/>
        </w:rPr>
        <w:t xml:space="preserve">El Plan Estratégico BCRP 2022-2026 (OE10) establece como actividades estratégicas el Tercer data center, la Renovación de hardware y software corporativo y el Despliegue del Office 365.</w:t>
      </w:r>
    </w:p>
    <w:p>
      <w:pPr>
        <w:spacing w:after="60" w:before="60"/>
      </w:pPr>
      <w:r>
        <w:t xml:space="preserve"/>
      </w:r>
    </w:p>
    <w:p>
      <w:pPr>
        <w:spacing w:after="60" w:before="60"/>
        <w:jc w:val="both"/>
      </w:pPr>
      <w:r>
        <w:rPr>
          <w:rFonts w:ascii="Arial" w:cs="Arial" w:eastAsia="Arial" w:hAnsi="Arial"/>
          <w:b/>
          <w:bCs/>
          <w:sz w:val="20"/>
          <w:szCs w:val="20"/>
        </w:rPr>
        <w:t xml:space="preserve">Análisis de impacto: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Riesgo de indisponibilidad total de sistemas críticos (LBTR, SIMC, SWIFT) ante falla de ambos data centers.</w:t>
      </w:r>
    </w:p>
    <w:p>
      <w:pPr>
        <w:pStyle w:val="ListParagraph"/>
        <w:numPr>
          <w:ilvl w:val="0"/>
          <w:numId w:val="2"/>
        </w:numPr>
        <w:spacing w:after="40" w:before="40"/>
      </w:pPr>
      <w:r>
        <w:rPr>
          <w:rFonts w:ascii="Arial" w:cs="Arial" w:eastAsia="Arial" w:hAnsi="Arial"/>
          <w:sz w:val="20"/>
          <w:szCs w:val="20"/>
        </w:rPr>
        <w:t xml:space="preserve">Limitación en las capacidades analíticas para política monetaria, gestión de reservas y generación de información macroeconómica (OE1, OE2, OE5).</w:t>
      </w:r>
    </w:p>
    <w:p>
      <w:pPr>
        <w:pStyle w:val="ListParagraph"/>
        <w:numPr>
          <w:ilvl w:val="0"/>
          <w:numId w:val="2"/>
        </w:numPr>
        <w:spacing w:after="40" w:before="40"/>
      </w:pPr>
      <w:r>
        <w:rPr>
          <w:rFonts w:ascii="Arial" w:cs="Arial" w:eastAsia="Arial" w:hAnsi="Arial"/>
          <w:sz w:val="20"/>
          <w:szCs w:val="20"/>
        </w:rPr>
        <w:t xml:space="preserve">Restricción en la colaboración institucional y gestión del conocimiento (OE9, OE11).</w:t>
      </w:r>
    </w:p>
    <w:p>
      <w:pPr>
        <w:spacing w:after="60" w:before="60"/>
      </w:pPr>
      <w:r>
        <w:t xml:space="preserve"/>
      </w:r>
    </w:p>
    <w:p>
      <w:pPr>
        <w:spacing w:after="60" w:before="60"/>
        <w:jc w:val="both"/>
      </w:pPr>
      <w:r>
        <w:rPr>
          <w:rFonts w:ascii="Arial" w:cs="Arial" w:eastAsia="Arial" w:hAnsi="Arial"/>
          <w:b/>
          <w:bCs/>
          <w:sz w:val="20"/>
          <w:szCs w:val="20"/>
        </w:rPr>
        <w:t xml:space="preserve">Valoración del nivel actual: </w:t>
      </w:r>
      <w:r>
        <w:rPr>
          <w:rFonts w:ascii="Arial" w:cs="Arial" w:eastAsia="Arial" w:hAnsi="Arial"/>
          <w:sz w:val="20"/>
          <w:szCs w:val="20"/>
        </w:rPr>
        <w:t xml:space="preserve">Infraestructura tecnológica avanzada en proceso de modernización, con dos data centers operativos y sistemas críticos funcionales, pero con brechas significativas en redundancia y capacidades analíticas.</w:t>
      </w:r>
    </w:p>
    <w:p>
      <w:pPr>
        <w:spacing w:after="60" w:before="60"/>
        <w:jc w:val="both"/>
      </w:pPr>
      <w:r>
        <w:rPr>
          <w:rFonts w:ascii="Arial" w:cs="Arial" w:eastAsia="Arial" w:hAnsi="Arial"/>
          <w:sz w:val="20"/>
          <w:szCs w:val="20"/>
        </w:rPr>
        <w:t xml:space="preserve">Nivel 2-3 – Infraestructura avanzada y funcional con brechas críticas de redundancia y modernización en curso.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2.4. DIMENSIÓN: SEGURIDAD Y CONTROL</w:t>
      </w:r>
    </w:p>
    <w:p>
      <w:pPr>
        <w:spacing w:after="60" w:before="60"/>
        <w:jc w:val="both"/>
      </w:pPr>
      <w:r>
        <w:rPr>
          <w:rFonts w:ascii="Arial" w:cs="Arial" w:eastAsia="Arial" w:hAnsi="Arial"/>
          <w:sz w:val="20"/>
          <w:szCs w:val="20"/>
        </w:rPr>
        <w:t xml:space="preserve">Se evaluaron los mecanismos actuales de protección, control, respaldo y resguardo de la información tecnológica del BCRP.</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ÁREAS INVOLUCRADAS</w:t>
            </w:r>
          </w:p>
        </w:tc>
        <w:tc>
          <w:tcPr>
            <w:tcW w:type="dxa" w:w="6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NEGATIVO EN SUS FUNCIONES SI NO SE MEJORA</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Operaciones Monetarias y Estabilidad Financiera (GOMEF)</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defensa activa contra ataques SWIFT y al LBTR, la GOMEF queda expuesta a que un ciberataque paralice o comprometa la liquidación de pagos interbancarios, con consecuencias directas sobre la estabilidad del sistema financiero nacional y la misión constitucional del BCRP (OE4).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Reservas Internacionales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Las operaciones internacionales de gestión de reservas se realizan a través de plataformas SWIFT. Sin controles de seguridad robustos (HSM, doble factor), las transacciones de inversión de reservas son vulnerables a fraudes y accesos no autorizados, poniendo en riesgo el patrimonio del Estado peruano (OE5).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Riesgos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un marco formal de gestión de riesgos tecnológicos desplegado en todos los procesos, la Gerencia de Riesgos no puede identificar, evaluar ni mitigar los riesgos operativos de TI de manera sistemática e institucionalizada, debilitando el control interno del BCRP (OE14).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Gerencia de Contabilidad y Supervisión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políticas formales de seguridad de la información y trazabilidad de accesos, los sistemas de información financiera son vulnerables a manipulaciones o accesos no autorizados, comprometiendo la confiabilidad de los registros contables y financieros del Banco (OE13).</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Secretaría General / Todas las Gerencias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Sin planes de continuidad operativa (BCP) formalizados y probados, ante un incidente tecnológico mayor todas las gerencias del BCRP enfrentarían interrupción de sus funciones sin protocolos claros de recuperación, afectando la continuidad de todos los procesos misionales.</w:t>
            </w:r>
          </w:p>
        </w:tc>
      </w:tr>
    </w:tbl>
    <w:p>
      <w:pPr>
        <w:spacing w:after="60" w:before="60"/>
      </w:pPr>
      <w:r>
        <w:t xml:space="preserve"/>
      </w:r>
    </w:p>
    <w:p>
      <w:pPr>
        <w:spacing w:after="60" w:before="60"/>
        <w:jc w:val="both"/>
      </w:pPr>
      <w:r>
        <w:rPr>
          <w:rFonts w:ascii="Arial" w:cs="Arial" w:eastAsia="Arial" w:hAnsi="Arial"/>
          <w:b/>
          <w:bCs/>
          <w:sz w:val="20"/>
          <w:szCs w:val="20"/>
        </w:rPr>
        <w:t xml:space="preserve">Situación encontrada:</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Controles básicos de ciberseguridad implementados pero insuficientes ante ataques sofisticados: el PETI identifica como brecha ALTA la necesidad de Defensa activa, HSM, MDM, doble factor VPN (PETI BCRP, p. 9).</w:t>
      </w:r>
    </w:p>
    <w:p>
      <w:pPr>
        <w:pStyle w:val="ListParagraph"/>
        <w:numPr>
          <w:ilvl w:val="0"/>
          <w:numId w:val="2"/>
        </w:numPr>
        <w:spacing w:after="40" w:before="40"/>
      </w:pPr>
      <w:r>
        <w:rPr>
          <w:rFonts w:ascii="Arial" w:cs="Arial" w:eastAsia="Arial" w:hAnsi="Arial"/>
          <w:sz w:val="20"/>
          <w:szCs w:val="20"/>
        </w:rPr>
        <w:t xml:space="preserve">Cumplimiento de estándares SWIFT vigente pero requiere refuerzo permanente: el Plan Estratégico contempla ejercicios de contingencia usando Swift Alliance Lifeline (OE11).</w:t>
      </w:r>
    </w:p>
    <w:p>
      <w:pPr>
        <w:pStyle w:val="ListParagraph"/>
        <w:numPr>
          <w:ilvl w:val="0"/>
          <w:numId w:val="2"/>
        </w:numPr>
        <w:spacing w:after="40" w:before="40"/>
      </w:pPr>
      <w:r>
        <w:rPr>
          <w:rFonts w:ascii="Arial" w:cs="Arial" w:eastAsia="Arial" w:hAnsi="Arial"/>
          <w:sz w:val="20"/>
          <w:szCs w:val="20"/>
        </w:rPr>
        <w:t xml:space="preserve">Mecanismos de contingencia operativa parcialmente implementados: se contemplan refuerzos en el PETI pero sin completarse (PETI BCRP, OE4-h).</w:t>
      </w:r>
    </w:p>
    <w:p>
      <w:pPr>
        <w:pStyle w:val="ListParagraph"/>
        <w:numPr>
          <w:ilvl w:val="0"/>
          <w:numId w:val="2"/>
        </w:numPr>
        <w:spacing w:after="40" w:before="40"/>
      </w:pPr>
      <w:r>
        <w:rPr>
          <w:rFonts w:ascii="Arial" w:cs="Arial" w:eastAsia="Arial" w:hAnsi="Arial"/>
          <w:sz w:val="20"/>
          <w:szCs w:val="20"/>
        </w:rPr>
        <w:t xml:space="preserve">Marco de gestión de riesgos tecnológicos en proceso de despliegue a todos los procesos: OE14 del Plan Estratégico establece esta necesidad explícitamente.</w:t>
      </w:r>
    </w:p>
    <w:p>
      <w:pPr>
        <w:spacing w:after="60" w:before="60"/>
      </w:pPr>
      <w:r>
        <w:t xml:space="preserve"/>
      </w:r>
    </w:p>
    <w:p>
      <w:pPr>
        <w:spacing w:after="60" w:before="60"/>
        <w:jc w:val="both"/>
      </w:pPr>
      <w:r>
        <w:rPr>
          <w:rFonts w:ascii="Arial" w:cs="Arial" w:eastAsia="Arial" w:hAnsi="Arial"/>
          <w:b/>
          <w:bCs/>
          <w:sz w:val="20"/>
          <w:szCs w:val="20"/>
        </w:rPr>
        <w:t xml:space="preserve">Evidencia o sustento: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 PETI BCRP (p. 9) documenta que la ciberseguridad tiene brecha ALTA, con controles básicos implementados pero necesidad urgente de defensa activa.</w:t>
      </w:r>
    </w:p>
    <w:p>
      <w:pPr>
        <w:pStyle w:val="ListParagraph"/>
        <w:numPr>
          <w:ilvl w:val="0"/>
          <w:numId w:val="2"/>
        </w:numPr>
        <w:spacing w:after="40" w:before="40"/>
      </w:pPr>
      <w:r>
        <w:rPr>
          <w:rFonts w:ascii="Arial" w:cs="Arial" w:eastAsia="Arial" w:hAnsi="Arial"/>
          <w:sz w:val="20"/>
          <w:szCs w:val="20"/>
        </w:rPr>
        <w:t xml:space="preserve">El Plan Estratégico BCRP (OE10-c) establece explícitamente Mayor seguridad de comunicaciones (HSM-LBTR, MDM para móviles, doble factor para VPN) y Refuerzo de protocolos y defensa contra ciberataques.</w:t>
      </w:r>
    </w:p>
    <w:p>
      <w:pPr>
        <w:pStyle w:val="ListParagraph"/>
        <w:numPr>
          <w:ilvl w:val="0"/>
          <w:numId w:val="2"/>
        </w:numPr>
        <w:spacing w:after="40" w:before="40"/>
      </w:pPr>
      <w:r>
        <w:rPr>
          <w:rFonts w:ascii="Arial" w:cs="Arial" w:eastAsia="Arial" w:hAnsi="Arial"/>
          <w:sz w:val="20"/>
          <w:szCs w:val="20"/>
        </w:rPr>
        <w:t xml:space="preserve">El documento COBIT 2019 BCRP identifica como perfil de riesgo ALTO los ataques lógicos de ciberseguridad e incumplimiento normativo SWIFT/ISO.</w:t>
      </w:r>
    </w:p>
    <w:p>
      <w:pPr>
        <w:spacing w:after="60" w:before="60"/>
      </w:pPr>
      <w:r>
        <w:t xml:space="preserve"/>
      </w:r>
    </w:p>
    <w:p>
      <w:pPr>
        <w:spacing w:after="60" w:before="60"/>
        <w:jc w:val="both"/>
      </w:pPr>
      <w:r>
        <w:rPr>
          <w:rFonts w:ascii="Arial" w:cs="Arial" w:eastAsia="Arial" w:hAnsi="Arial"/>
          <w:b/>
          <w:bCs/>
          <w:sz w:val="20"/>
          <w:szCs w:val="20"/>
        </w:rPr>
        <w:t xml:space="preserve">Análisis de impacto: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Exposición a ciberataques sofisticados (APT, ransomware, ataques SWIFT) al sistema financiero nacional.</w:t>
      </w:r>
    </w:p>
    <w:p>
      <w:pPr>
        <w:pStyle w:val="ListParagraph"/>
        <w:numPr>
          <w:ilvl w:val="0"/>
          <w:numId w:val="2"/>
        </w:numPr>
        <w:spacing w:after="40" w:before="40"/>
      </w:pPr>
      <w:r>
        <w:rPr>
          <w:rFonts w:ascii="Arial" w:cs="Arial" w:eastAsia="Arial" w:hAnsi="Arial"/>
          <w:sz w:val="20"/>
          <w:szCs w:val="20"/>
        </w:rPr>
        <w:t xml:space="preserve">Riesgo de incumplimiento normativo (SWIFT, ISO 27001, BIS) con consecuencias operativas y reputacionales para el BCRP.</w:t>
      </w:r>
    </w:p>
    <w:p>
      <w:pPr>
        <w:pStyle w:val="ListParagraph"/>
        <w:numPr>
          <w:ilvl w:val="0"/>
          <w:numId w:val="2"/>
        </w:numPr>
        <w:spacing w:after="40" w:before="40"/>
      </w:pPr>
      <w:r>
        <w:rPr>
          <w:rFonts w:ascii="Arial" w:cs="Arial" w:eastAsia="Arial" w:hAnsi="Arial"/>
          <w:sz w:val="20"/>
          <w:szCs w:val="20"/>
        </w:rPr>
        <w:t xml:space="preserve">Potencial afectación a la estabilidad del sistema de pagos nacional en caso de incidente de ciberseguridad en el LBTR.</w:t>
      </w:r>
    </w:p>
    <w:p>
      <w:pPr>
        <w:spacing w:after="60" w:before="60"/>
      </w:pPr>
      <w:r>
        <w:t xml:space="preserve"/>
      </w:r>
    </w:p>
    <w:p>
      <w:pPr>
        <w:spacing w:after="60" w:before="60"/>
        <w:jc w:val="both"/>
      </w:pPr>
      <w:r>
        <w:rPr>
          <w:rFonts w:ascii="Arial" w:cs="Arial" w:eastAsia="Arial" w:hAnsi="Arial"/>
          <w:b/>
          <w:bCs/>
          <w:sz w:val="20"/>
          <w:szCs w:val="20"/>
        </w:rPr>
        <w:t xml:space="preserve">Valoración del nivel actual: </w:t>
      </w:r>
      <w:r>
        <w:rPr>
          <w:rFonts w:ascii="Arial" w:cs="Arial" w:eastAsia="Arial" w:hAnsi="Arial"/>
          <w:sz w:val="20"/>
          <w:szCs w:val="20"/>
        </w:rPr>
        <w:t xml:space="preserve">Controles de seguridad básicos y cumplimiento de estándares SWIFT vigentes, pero con brechas críticas en defensa activa contra ciberataques sofisticados.</w:t>
      </w:r>
    </w:p>
    <w:p>
      <w:pPr>
        <w:spacing w:after="60" w:before="60"/>
        <w:jc w:val="both"/>
      </w:pPr>
      <w:r>
        <w:rPr>
          <w:rFonts w:ascii="Arial" w:cs="Arial" w:eastAsia="Arial" w:hAnsi="Arial"/>
          <w:sz w:val="20"/>
          <w:szCs w:val="20"/>
        </w:rPr>
        <w:t xml:space="preserve">Nivel 2 – Controles de seguridad funcionales con brechas críticas en defensa activa y gestión de riesgos tecnológicos.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2.5. NIVEL DE MADUREZ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ASPECTO EVALUADO</w:t>
            </w:r>
          </w:p>
        </w:tc>
        <w:tc>
          <w:tcPr>
            <w:tcW w:type="dxa" w:w="4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ESTIMADO</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Gestión de sistemas críticos (LBTR, SIMC, SWIFT)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Operativo con brechas</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y control</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Controles básicos implementados</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Infraestructura y redundancia</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Funcional con brecha de tercer DC</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Big data y analítica avanzada</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En desarrollo, capacidades parciales</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Gestión del conocimiento y herramientas colaborativas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Implementación parcial</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Gobierno de TI formal (EGIT)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Sin sistema formal COBIT</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Monitoreo y evaluación de TI</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Indicadores básicos del PETI</w:t>
            </w:r>
          </w:p>
        </w:tc>
      </w:tr>
    </w:tbl>
    <w:p>
      <w:pPr>
        <w:spacing w:after="60" w:before="60"/>
      </w:pPr>
      <w:r>
        <w:t xml:space="preserve"/>
      </w:r>
    </w:p>
    <w:p>
      <w:pPr>
        <w:spacing w:after="60" w:before="60"/>
        <w:jc w:val="both"/>
      </w:pPr>
      <w:r>
        <w:rPr>
          <w:rFonts w:ascii="Arial" w:cs="Arial" w:eastAsia="Arial" w:hAnsi="Arial"/>
          <w:b/>
          <w:bCs/>
          <w:sz w:val="20"/>
          <w:szCs w:val="20"/>
        </w:rPr>
        <w:t xml:space="preserve">Evidencia o sustento: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 PETI BCRP 2022-2026 documenta 8 brechas de capacidad TI: 4 de nivel ALTA y 4 de nivel MEDIA.</w:t>
      </w:r>
    </w:p>
    <w:p>
      <w:pPr>
        <w:pStyle w:val="ListParagraph"/>
        <w:numPr>
          <w:ilvl w:val="0"/>
          <w:numId w:val="2"/>
        </w:numPr>
        <w:spacing w:after="40" w:before="40"/>
      </w:pPr>
      <w:r>
        <w:rPr>
          <w:rFonts w:ascii="Arial" w:cs="Arial" w:eastAsia="Arial" w:hAnsi="Arial"/>
          <w:sz w:val="20"/>
          <w:szCs w:val="20"/>
        </w:rPr>
        <w:t xml:space="preserve">La existencia del PETI 2022-2026 y el portafolio de proyectos estratégicos evidencia un nivel 2 de planificación y gestión de proyectos TI.</w:t>
      </w:r>
    </w:p>
    <w:p>
      <w:pPr>
        <w:pStyle w:val="ListParagraph"/>
        <w:numPr>
          <w:ilvl w:val="0"/>
          <w:numId w:val="2"/>
        </w:numPr>
        <w:spacing w:after="40" w:before="40"/>
      </w:pPr>
      <w:r>
        <w:rPr>
          <w:rFonts w:ascii="Arial" w:cs="Arial" w:eastAsia="Arial" w:hAnsi="Arial"/>
          <w:sz w:val="20"/>
          <w:szCs w:val="20"/>
        </w:rPr>
        <w:t xml:space="preserve">El objetivo es elevar el nivel de madurez al Nivel 3 (Definido) en los procesos críticos de COBIT 2019.</w:t>
      </w:r>
    </w:p>
    <w:p>
      <w:pPr>
        <w:spacing w:after="60" w:before="60"/>
      </w:pPr>
      <w:r>
        <w:t xml:space="preserve"/>
      </w:r>
    </w:p>
    <w:p>
      <w:pPr>
        <w:spacing w:after="60" w:before="60"/>
        <w:jc w:val="both"/>
      </w:pPr>
      <w:r>
        <w:rPr>
          <w:rFonts w:ascii="Arial" w:cs="Arial" w:eastAsia="Arial" w:hAnsi="Arial"/>
          <w:b/>
          <w:bCs/>
          <w:sz w:val="20"/>
          <w:szCs w:val="20"/>
        </w:rPr>
        <w:t xml:space="preserve">Valoración del nivel actual: </w:t>
      </w:r>
      <w:r>
        <w:rPr>
          <w:rFonts w:ascii="Arial" w:cs="Arial" w:eastAsia="Arial" w:hAnsi="Arial"/>
          <w:sz w:val="20"/>
          <w:szCs w:val="20"/>
        </w:rPr>
        <w:t xml:space="preserve">El BCRP se ubica en Nivel 2 de madurez, con sistemas operativos funcionales, portafolio definido y personal calificado, pero con brechas críticas en modernización, ciberseguridad activa y gobierno formal de TI.</w:t>
      </w:r>
    </w:p>
    <w:p>
      <w:pPr>
        <w:spacing w:after="60" w:before="60"/>
        <w:jc w:val="both"/>
      </w:pPr>
      <w:r>
        <w:rPr>
          <w:rFonts w:ascii="Arial" w:cs="Arial" w:eastAsia="Arial" w:hAnsi="Arial"/>
          <w:sz w:val="20"/>
          <w:szCs w:val="20"/>
        </w:rPr>
        <w:t xml:space="preserve">Nivel 2 – Procesos operativos y planificación definida, sin gobierno formal EGIT ni modernización completa de sistemas críticos.</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3. MATRIZ DE AS-IS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400"/>
      </w:tblGrid>
      <w:tr>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w:t>
            </w:r>
          </w:p>
        </w:tc>
        <w:tc>
          <w:tcPr>
            <w:tcW w:type="dxa" w:w="3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HALLAZGOS PRINCIPALES</w:t>
            </w:r>
          </w:p>
        </w:tc>
        <w:tc>
          <w:tcPr>
            <w:tcW w:type="dxa" w:w="2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INSTITUCIONAL</w:t>
            </w:r>
          </w:p>
        </w:tc>
        <w:tc>
          <w:tcPr>
            <w:tcW w:type="dxa" w:w="1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Procesos TI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Sistema LBTR y SIMC operativos con tecnología que requiere renovación urgente. Integración limitada entre plataformas de datos estadísticos.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Riesgo operativo en el sistema de pagos nacional. Limitación para generar información macroeconómica en tiempo real.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Estructura y Gobierno</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 existe Sistema Formal de Gobierno de TI (EGIT) bajo COBIT 2019. Portafolio definido sin gobernanza estructurada.</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Inversiones TI sin aseguramiento de alineación estratégica. Dificultad para reportar valor de TI al Directorio.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1-2</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Tecnología e Infraestructura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Dos data centers sin redundancia geográfica plena. Capacidades de big data e IA en desarrollo. Herramientas colaborativas en despliegue parcial.</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Riesgo de indisponibilidad total de sistemas críticos. Limitación analítica para política monetaria y reservas.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Seguridad y Control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básicos implementados. Brecha ALTA en defensa activa contra ciberataques sofisticados (HSM, MDM, VPN doble factor).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Exposición a ciberataques al sistema financiero. Riesgo de incumplimiento SWIFT/ISO 27001.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Monitoreo y Madurez</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Indicadores básicos del PETI definidos. Sin sistema formal EGIT para monitoreo estratégico de TI bajo COBIT 2019.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Imposibilidad de medir objetivamente el valor generado por TI y el cumplimiento del gobierno corporativo tecnológico.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1-2</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4. CONCLUSIÓN DEL DIAGNÓSTICO AS-IS</w:t>
      </w:r>
    </w:p>
    <w:p>
      <w:pPr>
        <w:spacing w:after="60" w:before="60"/>
        <w:jc w:val="both"/>
      </w:pPr>
      <w:r>
        <w:rPr>
          <w:rFonts w:ascii="Arial" w:cs="Arial" w:eastAsia="Arial" w:hAnsi="Arial"/>
          <w:sz w:val="20"/>
          <w:szCs w:val="20"/>
        </w:rPr>
        <w:t xml:space="preserve">El análisis del estado actual evidencia que el Banco Central de Reserva del Perú cuenta con una infraestructura tecnológica funcional y personal altamente calificado, con sistemas críticos operativos (LBTR, SIMC, SWIFT) y un portafolio de proyectos estratégicos definido en el PETI 2022-2026. Sin embargo, presenta brechas críticas en la modernización de sus sistemas de pagos, la redundancia de infraestructura (tercer data center), las capacidades de ciberseguridad activa y la ausencia de un Sistema Formal de Gobierno de TI (EGIT) estructurado bajo COBIT 2019.</w:t>
      </w:r>
    </w:p>
    <w:p>
      <w:pPr>
        <w:spacing w:after="60" w:before="60"/>
      </w:pPr>
      <w:r>
        <w:t xml:space="preserve"/>
      </w:r>
    </w:p>
    <w:p>
      <w:pPr>
        <w:spacing w:after="60" w:before="60"/>
        <w:jc w:val="both"/>
      </w:pPr>
      <w:r>
        <w:rPr>
          <w:rFonts w:ascii="Arial" w:cs="Arial" w:eastAsia="Arial" w:hAnsi="Arial"/>
          <w:sz w:val="20"/>
          <w:szCs w:val="20"/>
        </w:rPr>
        <w:t xml:space="preserve">Este diagnóstico sirve como base para justificar el TO-BE (Fase 3), identificar los GAP de capacidad TI, priorizar los dominios y procesos COBIT 2019 a implementar, y sustentar las inversiones tecnológicas del PETI 2022-2026 ante el Directorio del BCRP.</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5. LO QUE FALTA EJECUTAR PARA CERRAR EL DIAGNÓSTICO AS-IS</w:t>
      </w:r>
    </w:p>
    <w:p>
      <w:pPr>
        <w:spacing w:after="60" w:before="60"/>
        <w:jc w:val="both"/>
      </w:pPr>
      <w:r>
        <w:rPr>
          <w:rFonts w:ascii="Arial" w:cs="Arial" w:eastAsia="Arial" w:hAnsi="Arial"/>
          <w:sz w:val="20"/>
          <w:szCs w:val="20"/>
        </w:rPr>
        <w:t xml:space="preserve">Para completar la Fase 2 (AS-IS) y cerrar el diagnóstico de la situación actual del BCRP, se identifican las siguientes acciones pendientes de ejecutar o formalizar según los hallazgos detallados: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5.1. Evaluación de Procesos de TI y Brechas Críticas</w:t>
      </w:r>
    </w:p>
    <w:p>
      <w:pPr>
        <w:spacing w:after="60" w:before="60"/>
        <w:jc w:val="both"/>
      </w:pPr>
      <w:r>
        <w:rPr>
          <w:rFonts w:ascii="Arial" w:cs="Arial" w:eastAsia="Arial" w:hAnsi="Arial"/>
          <w:b/>
          <w:bCs/>
          <w:sz w:val="20"/>
          <w:szCs w:val="20"/>
        </w:rPr>
        <w:t xml:space="preserve">Renovación de Sistemas de Pagos: </w:t>
      </w:r>
      <w:r>
        <w:rPr>
          <w:rFonts w:ascii="Arial" w:cs="Arial" w:eastAsia="Arial" w:hAnsi="Arial"/>
          <w:sz w:val="20"/>
          <w:szCs w:val="20"/>
        </w:rPr>
        <w:t xml:space="preserve">Se debe abordar la obsolescencia tecnológica de los sistemas LBTR (Liquidación Bruta en Tiempo Real) y SIMC (Instrumentos Monetarios), los cuales operan con plataformas desactualizadas que ponen en riesgo la continuidad de los pagos interbancarios. La brecha es calificada como ALTA en el PETI 2022–2026, dado que la falla de estos sistemas afectaría directamente la misión constitucional del Banco de preservar la estabilidad monetaria.</w:t>
      </w:r>
    </w:p>
    <w:p>
      <w:pPr>
        <w:spacing w:after="60" w:before="60"/>
      </w:pPr>
      <w:r>
        <w:t xml:space="preserve"/>
      </w:r>
    </w:p>
    <w:p>
      <w:pPr>
        <w:spacing w:after="60" w:before="60"/>
        <w:jc w:val="both"/>
      </w:pPr>
      <w:r>
        <w:rPr>
          <w:rFonts w:ascii="Arial" w:cs="Arial" w:eastAsia="Arial" w:hAnsi="Arial"/>
          <w:b/>
          <w:bCs/>
          <w:sz w:val="20"/>
          <w:szCs w:val="20"/>
        </w:rPr>
        <w:t xml:space="preserve">Integración de Datos: </w:t>
      </w:r>
      <w:r>
        <w:rPr>
          <w:rFonts w:ascii="Arial" w:cs="Arial" w:eastAsia="Arial" w:hAnsi="Arial"/>
          <w:sz w:val="20"/>
          <w:szCs w:val="20"/>
        </w:rPr>
        <w:t xml:space="preserve">Es necesario resolver la fragmentación de las bases de datos de balanza de pagos y mercado laboral, ya que la falta de integración actual limita la precisión de los modelos de proyección macroeconómica elaborados por la Gerencia de Estudios Económicos y la Gerencia de Política Monetaria (OE1, OE2). Sin esta integración, las decisiones de política monetaria del Directorio se toman con información incompleta o desactualizada.</w:t>
      </w:r>
    </w:p>
    <w:p>
      <w:pPr>
        <w:spacing w:after="60" w:before="60"/>
      </w:pPr>
      <w:r>
        <w:t xml:space="preserve"/>
      </w:r>
    </w:p>
    <w:p>
      <w:pPr>
        <w:spacing w:after="60" w:before="60"/>
        <w:jc w:val="both"/>
      </w:pPr>
      <w:r>
        <w:rPr>
          <w:rFonts w:ascii="Arial" w:cs="Arial" w:eastAsia="Arial" w:hAnsi="Arial"/>
          <w:b/>
          <w:bCs/>
          <w:sz w:val="20"/>
          <w:szCs w:val="20"/>
        </w:rPr>
        <w:t xml:space="preserve">Digitalización del Conocimiento: </w:t>
      </w:r>
      <w:r>
        <w:rPr>
          <w:rFonts w:ascii="Arial" w:cs="Arial" w:eastAsia="Arial" w:hAnsi="Arial"/>
          <w:sz w:val="20"/>
          <w:szCs w:val="20"/>
        </w:rPr>
        <w:t xml:space="preserve">Se requiere completar la digitalización de las actas del Directorio y fortalecer el sistema GESCON, que actualmente presenta una implementación básica. Esta brecha (clasificada como MEDIA en el PETI) afecta la gestión institucional del conocimiento y la memoria corporativa del BCRP (OE11).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PENDIENTE</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DOMINIO COBIT</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BCRP</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Renovación urgente del Sistema LBTR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DSS01, BAI03, APO02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 Sistemas de pagos eficientes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 – Urgente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del SIMC</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BAI03, DSS01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 Estabilidad financiera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Integración base de datos estadísticos (balanza de pagos, mercado laboral)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APO14, BAI02, BAI03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 OE2 – Información macroeconómica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Fortalecimiento GESCON y digitalización de actas del Directorio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BAI08, APO07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OE11 – Gestión del conocimiento</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bCs/>
                <w:sz w:val="18"/>
                <w:szCs w:val="18"/>
              </w:rPr>
              <w:t xml:space="preserve">MEDIA</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5.2. Estructura Organizativa y Gobierno (EGIT)</w:t>
      </w:r>
    </w:p>
    <w:p>
      <w:pPr>
        <w:spacing w:after="60" w:before="60"/>
        <w:jc w:val="both"/>
      </w:pPr>
      <w:r>
        <w:rPr>
          <w:rFonts w:ascii="Arial" w:cs="Arial" w:eastAsia="Arial" w:hAnsi="Arial"/>
          <w:b/>
          <w:bCs/>
          <w:sz w:val="20"/>
          <w:szCs w:val="20"/>
        </w:rPr>
        <w:t xml:space="preserve">Formalización del Marco COBIT: </w:t>
      </w:r>
      <w:r>
        <w:rPr>
          <w:rFonts w:ascii="Arial" w:cs="Arial" w:eastAsia="Arial" w:hAnsi="Arial"/>
          <w:sz w:val="20"/>
          <w:szCs w:val="20"/>
        </w:rPr>
        <w:t xml:space="preserve">Actualmente no existe un Sistema Formal de Gobierno de TI (EGIT) estructurado bajo COBIT 2019; las decisiones tecnológicas carecen de un marco formal de Evaluar, Dirigir y Monitorear (EDM). Esto significa que el Directorio del BCRP no tiene un instrumento institucionalizado para supervisar estratégicamente el valor, los riesgos y los resultados de las inversiones tecnológicas del Banco.</w:t>
      </w:r>
    </w:p>
    <w:p>
      <w:pPr>
        <w:spacing w:after="60" w:before="60"/>
      </w:pPr>
      <w:r>
        <w:t xml:space="preserve"/>
      </w:r>
    </w:p>
    <w:p>
      <w:pPr>
        <w:spacing w:after="60" w:before="60"/>
        <w:jc w:val="both"/>
      </w:pPr>
      <w:r>
        <w:rPr>
          <w:rFonts w:ascii="Arial" w:cs="Arial" w:eastAsia="Arial" w:hAnsi="Arial"/>
          <w:b/>
          <w:bCs/>
          <w:sz w:val="20"/>
          <w:szCs w:val="20"/>
        </w:rPr>
        <w:t xml:space="preserve">Institucionalización de Roles: </w:t>
      </w:r>
      <w:r>
        <w:rPr>
          <w:rFonts w:ascii="Arial" w:cs="Arial" w:eastAsia="Arial" w:hAnsi="Arial"/>
          <w:sz w:val="20"/>
          <w:szCs w:val="20"/>
        </w:rPr>
        <w:t xml:space="preserve">Falta formalizar los roles y responsabilidades de gobierno de TI dentro de los documentos normativos del Banco (ROF y MOF) bajo los estándares internacionales de ISACA. Sin esta formalización, no existe accountability claro sobre quién evalúa, dirige y monitorea el desempeño tecnológico institucional.</w:t>
      </w:r>
    </w:p>
    <w:p>
      <w:pPr>
        <w:spacing w:after="60" w:before="60"/>
      </w:pPr>
      <w:r>
        <w:t xml:space="preserve"/>
      </w:r>
    </w:p>
    <w:p>
      <w:pPr>
        <w:spacing w:after="60" w:before="60"/>
        <w:jc w:val="both"/>
      </w:pPr>
      <w:r>
        <w:rPr>
          <w:rFonts w:ascii="Arial" w:cs="Arial" w:eastAsia="Arial" w:hAnsi="Arial"/>
          <w:b/>
          <w:bCs/>
          <w:sz w:val="20"/>
          <w:szCs w:val="20"/>
        </w:rPr>
        <w:t xml:space="preserve">Gobernanza del Portafolio: </w:t>
      </w:r>
      <w:r>
        <w:rPr>
          <w:rFonts w:ascii="Arial" w:cs="Arial" w:eastAsia="Arial" w:hAnsi="Arial"/>
          <w:sz w:val="20"/>
          <w:szCs w:val="20"/>
        </w:rPr>
        <w:t xml:space="preserve">Aunque el PETI 2022-2026 está definido, se requiere establecer una gobernanza estructurada y medible para asegurar que las inversiones en TI estén alineadas con la estrategia institucional. Actualmente, la priorización y seguimiento de proyectos TI carece de un mecanismo formal de evaluación y aprobación por parte del Directorio.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PENDIENTE</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DOMINIO COBIT</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BCRP</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Constituir el Comité de Gobierno de TI mediante Resolución Interna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EDM05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 Gestión de riesgos institucionales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 – Urgente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Actualizar ROF y MOF con roles y responsabilidades de gobierno TI</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APO07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OE10 – Gobierno y TI</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Establecer mecanismos de reporte periódico del valor de TI al Directorio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EDM05, MEA01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 Transparencia institucional</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gobernanza estructurada del portafolio PETI 2022-2026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APO02, APO06, BAI01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 Proyectos informáticos innovadores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5.3. Infraestructura y Continuidad Operativa</w:t>
      </w:r>
    </w:p>
    <w:p>
      <w:pPr>
        <w:spacing w:after="60" w:before="60"/>
        <w:jc w:val="both"/>
      </w:pPr>
      <w:r>
        <w:rPr>
          <w:rFonts w:ascii="Arial" w:cs="Arial" w:eastAsia="Arial" w:hAnsi="Arial"/>
          <w:b/>
          <w:bCs/>
          <w:sz w:val="20"/>
          <w:szCs w:val="20"/>
        </w:rPr>
        <w:t xml:space="preserve">Tercer Centro de Datos: </w:t>
      </w:r>
      <w:r>
        <w:rPr>
          <w:rFonts w:ascii="Arial" w:cs="Arial" w:eastAsia="Arial" w:hAnsi="Arial"/>
          <w:sz w:val="20"/>
          <w:szCs w:val="20"/>
        </w:rPr>
        <w:t xml:space="preserve">Se debe mitigar el riesgo de indisponibilidad total mediante la implementación de un tercer data center, ya que actualmente solo se cuenta con dos, lo que representa una brecha ALTA de redundancia. Ante una falla simultánea de ambos centros de datos, todos los sistemas críticos del BCRP (LBTR, SIMC, SWIFT) quedarían inoperativos, paralizando el sistema de pagos nacional.</w:t>
      </w:r>
    </w:p>
    <w:p>
      <w:pPr>
        <w:spacing w:after="60" w:before="60"/>
      </w:pPr>
      <w:r>
        <w:t xml:space="preserve"/>
      </w:r>
    </w:p>
    <w:p>
      <w:pPr>
        <w:spacing w:after="60" w:before="60"/>
        <w:jc w:val="both"/>
      </w:pPr>
      <w:r>
        <w:rPr>
          <w:rFonts w:ascii="Arial" w:cs="Arial" w:eastAsia="Arial" w:hAnsi="Arial"/>
          <w:b/>
          <w:bCs/>
          <w:sz w:val="20"/>
          <w:szCs w:val="20"/>
        </w:rPr>
        <w:t xml:space="preserve">Capacidades Analíticas: </w:t>
      </w:r>
      <w:r>
        <w:rPr>
          <w:rFonts w:ascii="Arial" w:cs="Arial" w:eastAsia="Arial" w:hAnsi="Arial"/>
          <w:sz w:val="20"/>
          <w:szCs w:val="20"/>
        </w:rPr>
        <w:t xml:space="preserve">Falta completar el despliegue de herramientas de Big Data e Inteligencia Artificial, las cuales se encuentran en una etapa de implementación parcial. Su despliegue completo en las gerencias misionales (Estudios Económicos, GOMEF y Reservas Internacionales) es esencial para soportar los modelos de política monetaria, gestión de reservas y generación de información macroeconómica de calidad (OE1, OE2, OE5).</w:t>
      </w:r>
    </w:p>
    <w:p>
      <w:pPr>
        <w:spacing w:after="60" w:before="60"/>
      </w:pPr>
      <w:r>
        <w:t xml:space="preserve"/>
      </w:r>
    </w:p>
    <w:p>
      <w:pPr>
        <w:spacing w:after="60" w:before="60"/>
        <w:jc w:val="both"/>
      </w:pPr>
      <w:r>
        <w:rPr>
          <w:rFonts w:ascii="Arial" w:cs="Arial" w:eastAsia="Arial" w:hAnsi="Arial"/>
          <w:b/>
          <w:bCs/>
          <w:sz w:val="20"/>
          <w:szCs w:val="20"/>
        </w:rPr>
        <w:t xml:space="preserve">Herramientas de Productividad: </w:t>
      </w:r>
      <w:r>
        <w:rPr>
          <w:rFonts w:ascii="Arial" w:cs="Arial" w:eastAsia="Arial" w:hAnsi="Arial"/>
          <w:sz w:val="20"/>
          <w:szCs w:val="20"/>
        </w:rPr>
        <w:t xml:space="preserve">Es necesario finalizar el despliegue de Office 365 e Intranet colaborativa para mejorar la productividad y la gestión del talento. Estas herramientas, actualmente en despliegue parcial, son fundamentales para que la Gerencia de Recursos Humanos pueda crear condiciones de colaboración e innovación institucional (OE9).</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PENDIENTE</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DOMINIO COBIT</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BCRP</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tercer data center para redundancia geográfica plena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BAI04, DSS04, EDM04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OE12 – Infraestructura moderna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 – Urgente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Desplegar plataforma big data e IA en gerencias misionales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BAI02, BAI03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 OE2, OE5 – Política monetaria y reservas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bCs/>
                <w:sz w:val="18"/>
                <w:szCs w:val="18"/>
              </w:rPr>
              <w:t xml:space="preserve">MEDIA-ALTA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Completar despliegue de Office 365 e Intranet colaborativa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APO07, BAI05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OE9 – Atraer y retener talento profesional</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bCs/>
                <w:sz w:val="18"/>
                <w:szCs w:val="18"/>
              </w:rPr>
              <w:t xml:space="preserve">MEDIA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Renovación de hardware y software corporativo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APO06, BAI04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 Desarrollos informáticos innovadores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bCs/>
                <w:sz w:val="18"/>
                <w:szCs w:val="18"/>
              </w:rPr>
              <w:t xml:space="preserve">MEDIA</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5.4. Seguridad y Control Institucional</w:t>
      </w:r>
    </w:p>
    <w:p>
      <w:pPr>
        <w:spacing w:after="60" w:before="60"/>
        <w:jc w:val="both"/>
      </w:pPr>
      <w:r>
        <w:rPr>
          <w:rFonts w:ascii="Arial" w:cs="Arial" w:eastAsia="Arial" w:hAnsi="Arial"/>
          <w:b/>
          <w:bCs/>
          <w:sz w:val="20"/>
          <w:szCs w:val="20"/>
        </w:rPr>
        <w:t xml:space="preserve">Defensa Activa: </w:t>
      </w:r>
      <w:r>
        <w:rPr>
          <w:rFonts w:ascii="Arial" w:cs="Arial" w:eastAsia="Arial" w:hAnsi="Arial"/>
          <w:sz w:val="20"/>
          <w:szCs w:val="20"/>
        </w:rPr>
        <w:t xml:space="preserve">Se debe cerrar la brecha en ciberseguridad mediante la implementación de controles avanzados como HSM (Hardware Security Module) para el LBTR, MDM para dispositivos móviles y doble factor de autenticación para VPN. Esta brecha es calificada como ALTA en el PETI 2022-2026, dado el incremento de ciberataques sofisticados (APT, ransomware, fraude SWIFT) dirigidos al sector financiero a nivel global.</w:t>
      </w:r>
    </w:p>
    <w:p>
      <w:pPr>
        <w:spacing w:after="60" w:before="60"/>
      </w:pPr>
      <w:r>
        <w:t xml:space="preserve"/>
      </w:r>
    </w:p>
    <w:p>
      <w:pPr>
        <w:spacing w:after="60" w:before="60"/>
        <w:jc w:val="both"/>
      </w:pPr>
      <w:r>
        <w:rPr>
          <w:rFonts w:ascii="Arial" w:cs="Arial" w:eastAsia="Arial" w:hAnsi="Arial"/>
          <w:b/>
          <w:bCs/>
          <w:sz w:val="20"/>
          <w:szCs w:val="20"/>
        </w:rPr>
        <w:t xml:space="preserve">Certificación y Estándares: </w:t>
      </w:r>
      <w:r>
        <w:rPr>
          <w:rFonts w:ascii="Arial" w:cs="Arial" w:eastAsia="Arial" w:hAnsi="Arial"/>
          <w:sz w:val="20"/>
          <w:szCs w:val="20"/>
        </w:rPr>
        <w:t xml:space="preserve">Falta alcanzar la certificación formal ISO 27001 y reforzar de manera permanente los protocolos de seguridad SWIFT y del BIS. La certificación ISO 27001 es un requisito tácito para un banco central de primer nivel internacional, y su ausencia constituye una brecha crítica de cumplimiento normativo que puede afectar la reputación institucional del BCRP ante sus contrapartes internacionales.</w:t>
      </w:r>
    </w:p>
    <w:p>
      <w:pPr>
        <w:spacing w:after="60" w:before="60"/>
      </w:pPr>
      <w:r>
        <w:t xml:space="preserve"/>
      </w:r>
    </w:p>
    <w:p>
      <w:pPr>
        <w:spacing w:after="60" w:before="60"/>
        <w:jc w:val="both"/>
      </w:pPr>
      <w:r>
        <w:rPr>
          <w:rFonts w:ascii="Arial" w:cs="Arial" w:eastAsia="Arial" w:hAnsi="Arial"/>
          <w:b/>
          <w:bCs/>
          <w:sz w:val="20"/>
          <w:szCs w:val="20"/>
        </w:rPr>
        <w:t xml:space="preserve">Gestión de Riesgos Transversal: </w:t>
      </w:r>
      <w:r>
        <w:rPr>
          <w:rFonts w:ascii="Arial" w:cs="Arial" w:eastAsia="Arial" w:hAnsi="Arial"/>
          <w:sz w:val="20"/>
          <w:szCs w:val="20"/>
        </w:rPr>
        <w:t xml:space="preserve">El marco de gestión de riesgos tecnológicos aún está en proceso de desplegarse a todos los procesos del Banco, tal como lo exige el objetivo estratégico OE14. Sin este despliegue transversal, los riesgos operativos de TI (LBTR, SIMC, SWIFT, ciberseguridad) no se integran formalmente con el marco general de riesgos institucionales gestionado por la Gerencia de Riesgos del BCRP.</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PENDIENTE</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DOMINIO COBIT</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BCRP</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defensa activa: HSM-LBTR, MDM, VPN doble factor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APO12, APO13, DSS05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OE14 – Infraestructura segura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 – Urgente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Iniciar proceso formal de certificación ISO 27001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APO13, MEA03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 Cumplimiento normativo</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Reforzar permanentemente protocolos SWIFT y BIS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APO12, DSS05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 Gestión de riesgos financieros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Desplegar gestión de riesgos TI a todos los procesos del Banco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EDM03, APO12, MEA02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 Gestión integral de riesgos (OE14)</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bCs/>
                <w:sz w:val="18"/>
                <w:szCs w:val="18"/>
              </w:rPr>
              <w:t xml:space="preserve">ALTA</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5.5. Resumen de Madurez Actual y Brechas por Cerrar</w:t>
      </w:r>
    </w:p>
    <w:p>
      <w:pPr>
        <w:spacing w:after="60" w:before="60"/>
        <w:jc w:val="both"/>
      </w:pPr>
      <w:r>
        <w:rPr>
          <w:rFonts w:ascii="Arial" w:cs="Arial" w:eastAsia="Arial" w:hAnsi="Arial"/>
          <w:sz w:val="20"/>
          <w:szCs w:val="20"/>
        </w:rPr>
        <w:t xml:space="preserve">Actualmente, el BCRP se ubica en un Nivel 2 (Gestionado) de madurez COBIT 2019. Para avanzar al Nivel 3 (Definido) – que es la meta establecida en el proyecto – el diagnóstico de la Fase 2 concluye que la institución debe dejar de operar bajo un esquema reactivo-funcional para adoptar un modelo de gobierno formalizado y medible.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c>
          <w:tcPr>
            <w:tcW w:type="dxa" w:w="2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AS-IS</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ACTUAL</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META (TO-BE)</w:t>
            </w:r>
          </w:p>
        </w:tc>
        <w:tc>
          <w:tcPr>
            <w:tcW w:type="dxa" w:w="21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BRECHA DE MADUREZ</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Procesos de TI (LBTR, SIMC)</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Operativo con brechas críticas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Procesos definidos y estandarizados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nivel – Modernización urgente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Estructura y Gobierno (EGIT)</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Sin sistema formal COBIT</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EGIT institucionalizado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niveles – Formalización crítica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Tecnología e Infraestructura</w:t>
            </w:r>
          </w:p>
        </w:tc>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2-3 – Funcional con brechas de redundancia</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Tres DC y big data desplegados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+0-1 nivel – Tercer DC urgente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Seguridad y Control</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Controles básicos implementados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Defensa activa e ISO 27001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 nivel – Ciberseguridad activa urgente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Gobierno y Monitoreo</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Sin EGIT ni KPIs formales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KPIs del EGIT reportados al Directorio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+1-2 niveles – EGIT y KPIs prioritarios</w:t>
            </w:r>
          </w:p>
        </w:tc>
      </w:tr>
    </w:tbl>
    <w:p>
      <w:pPr>
        <w:spacing w:after="60" w:before="60"/>
      </w:pPr>
      <w:r>
        <w:t xml:space="preserve"/>
      </w:r>
    </w:p>
    <w:p>
      <w:pPr>
        <w:spacing w:after="60" w:before="60"/>
        <w:jc w:val="both"/>
      </w:pPr>
      <w:r>
        <w:rPr>
          <w:rFonts w:ascii="Arial" w:cs="Arial" w:eastAsia="Arial" w:hAnsi="Arial"/>
          <w:sz w:val="20"/>
          <w:szCs w:val="20"/>
        </w:rPr>
        <w:t xml:space="preserve">El avance del Nivel 2 al Nivel 3 requiere que el BCRP transite de procesos tecnológicos operativos e informales hacia procesos definidos, documentados, con responsables formalmente asignados, medidos con KPIs institucionales y supervisados periódicamente por el Directorio bajo el marco COBIT 2019. Las acciones identificadas en esta sección constituyen la hoja de ruta que conecta el diagnóstico AS-IS con el estado deseado TO-BE de la Fase 3.</w:t>
      </w:r>
    </w:p>
    <w:p>
      <w:pPr>
        <w:spacing w:after="60" w:before="60"/>
      </w:pPr>
      <w:r>
        <w:t xml:space="preserve"/>
      </w:r>
    </w:p>
    <w:p>
      <w:r>
        <w:br w:type="page"/>
      </w:r>
    </w:p>
    <w:p>
      <w:pPr>
        <w:shd w:fill="1F3864" w:val="clear"/>
        <w:spacing w:after="140" w:before="280"/>
        <w:ind w:left="160" w:right="160"/>
      </w:pPr>
      <w:r>
        <w:rPr>
          <w:rFonts w:ascii="Arial" w:cs="Arial" w:eastAsia="Arial" w:hAnsi="Arial"/>
          <w:b/>
          <w:bCs/>
          <w:color w:val="FFFFFF"/>
          <w:sz w:val="28"/>
          <w:szCs w:val="28"/>
        </w:rPr>
        <w:t xml:space="preserve">FASE 3: ¿ADÓNDE QUEREMOS ESTAR? (TO-BE)</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1. OBJETIVO DEL ESTADO DESEADO</w:t>
      </w:r>
    </w:p>
    <w:p>
      <w:pPr>
        <w:spacing w:after="60" w:before="60"/>
        <w:jc w:val="both"/>
      </w:pPr>
      <w:r>
        <w:rPr>
          <w:rFonts w:ascii="Arial" w:cs="Arial" w:eastAsia="Arial" w:hAnsi="Arial"/>
          <w:sz w:val="20"/>
          <w:szCs w:val="20"/>
        </w:rPr>
        <w:t xml:space="preserve">Definir la situación futura deseada de la gestión tecnológica del Banco Central de Reserva del Perú, proyectando un modelo institucional en el cual las Tecnologías de Información se encuentran alineadas con los objetivos estratégicos constitucionales del BCRP, soportadas por procesos formalizados, estructuras de gobierno establecidas, infraestructura integrada y redundante, mecanismos de ciberseguridad activa fortalecidos, y una capacidad permanente de monitoreo y mejora continua.</w:t>
      </w:r>
    </w:p>
    <w:p>
      <w:pPr>
        <w:spacing w:after="60" w:before="60"/>
      </w:pPr>
      <w:r>
        <w:t xml:space="preserve"/>
      </w:r>
    </w:p>
    <w:p>
      <w:pPr>
        <w:spacing w:after="60" w:before="60"/>
        <w:jc w:val="both"/>
      </w:pPr>
      <w:r>
        <w:rPr>
          <w:rFonts w:ascii="Arial" w:cs="Arial" w:eastAsia="Arial" w:hAnsi="Arial"/>
          <w:sz w:val="20"/>
          <w:szCs w:val="20"/>
        </w:rPr>
        <w:t xml:space="preserve">La Fase 3 propone que la GTI deje de actuar únicamente como área de soporte reactivo y se convierta en un habilitador estratégico del BCRP, bajo un sistema formal de Gobierno de TI (EGIT) supervisado por el Directorio, orientado a preservar la estabilidad monetaria y posicionar al BCRP como banco central moderno y de primer nivel internacional.</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2. DIMENSIONES TO-BE</w:t>
      </w:r>
    </w:p>
    <w:p>
      <w:pPr>
        <w:pBdr>
          <w:bottom w:val="single" w:color="2E5FA3" w:sz="4"/>
        </w:pBdr>
        <w:spacing w:after="80" w:before="160"/>
      </w:pPr>
      <w:r>
        <w:rPr>
          <w:rFonts w:ascii="Arial" w:cs="Arial" w:eastAsia="Arial" w:hAnsi="Arial"/>
          <w:b/>
          <w:bCs/>
          <w:color w:val="1F3864"/>
          <w:sz w:val="22"/>
          <w:szCs w:val="22"/>
        </w:rPr>
        <w:t xml:space="preserve">2.1. Dimensión: Procesos de TI</w:t>
      </w:r>
    </w:p>
    <w:p>
      <w:pPr>
        <w:spacing w:after="60" w:before="60"/>
        <w:jc w:val="both"/>
      </w:pPr>
      <w:r>
        <w:rPr>
          <w:rFonts w:ascii="Arial" w:cs="Arial" w:eastAsia="Arial" w:hAnsi="Arial"/>
          <w:sz w:val="20"/>
          <w:szCs w:val="20"/>
        </w:rPr>
        <w:t xml:space="preserve">Se proyecta que el BCRP disponga de procesos tecnológicos críticos (LBTR, SIMC, SWIFT) completamente modernizados, estandarizados e integrados, con sistemas de información estadística plenamente interoperables y una gestión del conocimiento institucional completamente digitalizada.</w:t>
      </w:r>
    </w:p>
    <w:p>
      <w:pPr>
        <w:spacing w:after="60" w:before="60"/>
      </w:pPr>
      <w:r>
        <w:t xml:space="preserve"/>
      </w:r>
    </w:p>
    <w:p>
      <w:pPr>
        <w:spacing w:after="60" w:before="60"/>
        <w:jc w:val="both"/>
      </w:pPr>
      <w:r>
        <w:rPr>
          <w:rFonts w:ascii="Arial" w:cs="Arial" w:eastAsia="Arial" w:hAnsi="Arial"/>
          <w:b/>
          <w:bCs/>
          <w:sz w:val="20"/>
          <w:szCs w:val="20"/>
        </w:rPr>
        <w:t xml:space="preserve">Estado deseado proyectado: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Sistema LBTR completamente renovado con mayor seguridad, capacidad y resiliencia operativa.</w:t>
      </w:r>
    </w:p>
    <w:p>
      <w:pPr>
        <w:pStyle w:val="ListParagraph"/>
        <w:numPr>
          <w:ilvl w:val="0"/>
          <w:numId w:val="2"/>
        </w:numPr>
        <w:spacing w:after="40" w:before="40"/>
      </w:pPr>
      <w:r>
        <w:rPr>
          <w:rFonts w:ascii="Arial" w:cs="Arial" w:eastAsia="Arial" w:hAnsi="Arial"/>
          <w:sz w:val="20"/>
          <w:szCs w:val="20"/>
        </w:rPr>
        <w:t xml:space="preserve">Sistema SIMC modernizado e integrado con el nuevo LBTR para soporte a innovación en instrumentos monetarios.</w:t>
      </w:r>
    </w:p>
    <w:p>
      <w:pPr>
        <w:pStyle w:val="ListParagraph"/>
        <w:numPr>
          <w:ilvl w:val="0"/>
          <w:numId w:val="2"/>
        </w:numPr>
        <w:spacing w:after="40" w:before="40"/>
      </w:pPr>
      <w:r>
        <w:rPr>
          <w:rFonts w:ascii="Arial" w:cs="Arial" w:eastAsia="Arial" w:hAnsi="Arial"/>
          <w:sz w:val="20"/>
          <w:szCs w:val="20"/>
        </w:rPr>
        <w:t xml:space="preserve">Bases de datos estadísticas (balanza de pagos, mercado laboral) completamente integradas y disponibles en tiempo real.</w:t>
      </w:r>
    </w:p>
    <w:p>
      <w:pPr>
        <w:pStyle w:val="ListParagraph"/>
        <w:numPr>
          <w:ilvl w:val="0"/>
          <w:numId w:val="2"/>
        </w:numPr>
        <w:spacing w:after="40" w:before="40"/>
      </w:pPr>
      <w:r>
        <w:rPr>
          <w:rFonts w:ascii="Arial" w:cs="Arial" w:eastAsia="Arial" w:hAnsi="Arial"/>
          <w:sz w:val="20"/>
          <w:szCs w:val="20"/>
        </w:rPr>
        <w:t xml:space="preserve">Plataforma GESCON robusta y completamente digitalizada, incluyendo actas del Directorio.</w:t>
      </w:r>
    </w:p>
    <w:p>
      <w:pPr>
        <w:pStyle w:val="ListParagraph"/>
        <w:numPr>
          <w:ilvl w:val="0"/>
          <w:numId w:val="2"/>
        </w:numPr>
        <w:spacing w:after="40" w:before="40"/>
      </w:pPr>
      <w:r>
        <w:rPr>
          <w:rFonts w:ascii="Arial" w:cs="Arial" w:eastAsia="Arial" w:hAnsi="Arial"/>
          <w:sz w:val="20"/>
          <w:szCs w:val="20"/>
        </w:rPr>
        <w:t xml:space="preserve">Procesos TI documentados, estandarizados y con responsables formalmente asignados.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 (AS-IS)</w:t>
            </w:r>
          </w:p>
        </w:tc>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 (TO-BE)</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 LBTR operativo con tecnología desactualizada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Nuevo LBTR con alta seguridad, resiliencia y capacidad mejorada</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SIMC con tecnología que limita la innovación</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SIMC modernizado e integrado para nuevos instrumentos monetarios</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Bases de datos sectoriales sin integración plena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 de datos integrada de balanza de pagos y mercado laboral en tiempo real</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GESCON básico; actas del Directorio no digitalizadas</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Plataforma GESCON robusta y gestión del conocimiento completamente digital</w:t>
            </w:r>
          </w:p>
        </w:tc>
      </w:tr>
    </w:tbl>
    <w:p>
      <w:pPr>
        <w:spacing w:after="60" w:before="60"/>
      </w:pPr>
      <w:r>
        <w:t xml:space="preserve"/>
      </w:r>
    </w:p>
    <w:p>
      <w:pPr>
        <w:spacing w:after="60" w:before="60"/>
        <w:jc w:val="both"/>
      </w:pPr>
      <w:r>
        <w:rPr>
          <w:rFonts w:ascii="Arial" w:cs="Arial" w:eastAsia="Arial" w:hAnsi="Arial"/>
          <w:b/>
          <w:bCs/>
          <w:sz w:val="20"/>
          <w:szCs w:val="20"/>
        </w:rPr>
        <w:t xml:space="preserve">Beneficio esperado: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Eliminación del riesgo operativo en el sistema de pagos interbancario nacional.</w:t>
      </w:r>
    </w:p>
    <w:p>
      <w:pPr>
        <w:pStyle w:val="ListParagraph"/>
        <w:numPr>
          <w:ilvl w:val="0"/>
          <w:numId w:val="2"/>
        </w:numPr>
        <w:spacing w:after="40" w:before="40"/>
      </w:pPr>
      <w:r>
        <w:rPr>
          <w:rFonts w:ascii="Arial" w:cs="Arial" w:eastAsia="Arial" w:hAnsi="Arial"/>
          <w:sz w:val="20"/>
          <w:szCs w:val="20"/>
        </w:rPr>
        <w:t xml:space="preserve">Mejora significativa en la precisión y oportunidad de los modelos de proyección macroeconómica.</w:t>
      </w:r>
    </w:p>
    <w:p>
      <w:pPr>
        <w:pStyle w:val="ListParagraph"/>
        <w:numPr>
          <w:ilvl w:val="0"/>
          <w:numId w:val="2"/>
        </w:numPr>
        <w:spacing w:after="40" w:before="40"/>
      </w:pPr>
      <w:r>
        <w:rPr>
          <w:rFonts w:ascii="Arial" w:cs="Arial" w:eastAsia="Arial" w:hAnsi="Arial"/>
          <w:sz w:val="20"/>
          <w:szCs w:val="20"/>
        </w:rPr>
        <w:t xml:space="preserve">Fortalecimiento de la misión constitucional del BCRP de preservar la estabilidad monetaria.</w:t>
      </w:r>
    </w:p>
    <w:p>
      <w:pPr>
        <w:pStyle w:val="ListParagraph"/>
        <w:numPr>
          <w:ilvl w:val="0"/>
          <w:numId w:val="2"/>
        </w:numPr>
        <w:spacing w:after="40" w:before="40"/>
      </w:pPr>
      <w:r>
        <w:rPr>
          <w:rFonts w:ascii="Arial" w:cs="Arial" w:eastAsia="Arial" w:hAnsi="Arial"/>
          <w:sz w:val="20"/>
          <w:szCs w:val="20"/>
        </w:rPr>
        <w:t xml:space="preserve">Mayor capacidad de innovación en instrumentos monetarios y cambiarios (OE4).</w:t>
      </w:r>
    </w:p>
    <w:p>
      <w:pPr>
        <w:spacing w:after="60" w:before="60"/>
      </w:pPr>
      <w:r>
        <w:t xml:space="preserve"/>
      </w:r>
    </w:p>
    <w:p>
      <w:pPr>
        <w:spacing w:after="60" w:before="60"/>
        <w:jc w:val="both"/>
      </w:pPr>
      <w:r>
        <w:rPr>
          <w:rFonts w:ascii="Arial" w:cs="Arial" w:eastAsia="Arial" w:hAnsi="Arial"/>
          <w:b/>
          <w:bCs/>
          <w:sz w:val="20"/>
          <w:szCs w:val="20"/>
        </w:rPr>
        <w:t xml:space="preserve">Nivel meta esperado: </w:t>
      </w:r>
      <w:r>
        <w:rPr>
          <w:rFonts w:ascii="Arial" w:cs="Arial" w:eastAsia="Arial" w:hAnsi="Arial"/>
          <w:sz w:val="20"/>
          <w:szCs w:val="20"/>
        </w:rPr>
        <w:t xml:space="preserve">Se proyecta alcanzar Nivel 3 de madurez COBIT en la dimensión de procesos de TI, con sistemas críticos modernizados, documentados, con responsables asignados, indicadores de desempeño y seguimiento institucional periódico. La disponibilidad del LBTR deberá alcanzar ≥ 99.9% y el RTO ≤ 4 horas conforme a los KPIs del proyecto.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2.2. Dimensión: Estructura Organizativa y Gobierno</w:t>
      </w:r>
    </w:p>
    <w:p>
      <w:pPr>
        <w:spacing w:after="60" w:before="60"/>
        <w:jc w:val="both"/>
      </w:pPr>
      <w:r>
        <w:rPr>
          <w:rFonts w:ascii="Arial" w:cs="Arial" w:eastAsia="Arial" w:hAnsi="Arial"/>
          <w:sz w:val="20"/>
          <w:szCs w:val="20"/>
        </w:rPr>
        <w:t xml:space="preserve">Se proyecta que el BCRP cuente con un Sistema Formal de Gobierno de TI (EGIT) institucionalizado bajo COBIT 2019, con un Comité de Gobierno de TI formalmente constituido, roles y responsabilidades documentados, y una cartera de proyectos tecnológicos priorizada y supervisada por el Directorio.</w:t>
      </w:r>
    </w:p>
    <w:p>
      <w:pPr>
        <w:spacing w:after="60" w:before="60"/>
      </w:pPr>
      <w:r>
        <w:t xml:space="preserve"/>
      </w:r>
    </w:p>
    <w:p>
      <w:pPr>
        <w:spacing w:after="60" w:before="60"/>
        <w:jc w:val="both"/>
      </w:pPr>
      <w:r>
        <w:rPr>
          <w:rFonts w:ascii="Arial" w:cs="Arial" w:eastAsia="Arial" w:hAnsi="Arial"/>
          <w:b/>
          <w:bCs/>
          <w:sz w:val="20"/>
          <w:szCs w:val="20"/>
        </w:rPr>
        <w:t xml:space="preserve">Estado deseado proyectado: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Comité de Gobierno de TI del BCRP formalmente constituido mediante Resolución Interna, presidido por la Gerencia General.</w:t>
      </w:r>
    </w:p>
    <w:p>
      <w:pPr>
        <w:pStyle w:val="ListParagraph"/>
        <w:numPr>
          <w:ilvl w:val="0"/>
          <w:numId w:val="2"/>
        </w:numPr>
        <w:spacing w:after="40" w:before="40"/>
      </w:pPr>
      <w:r>
        <w:rPr>
          <w:rFonts w:ascii="Arial" w:cs="Arial" w:eastAsia="Arial" w:hAnsi="Arial"/>
          <w:sz w:val="20"/>
          <w:szCs w:val="20"/>
        </w:rPr>
        <w:t xml:space="preserve">Sistema formal EGIT bajo COBIT 2019 con procesos EDM (Evaluar, Dirigir, Monitorear) institucionalizados.</w:t>
      </w:r>
    </w:p>
    <w:p>
      <w:pPr>
        <w:pStyle w:val="ListParagraph"/>
        <w:numPr>
          <w:ilvl w:val="0"/>
          <w:numId w:val="2"/>
        </w:numPr>
        <w:spacing w:after="40" w:before="40"/>
      </w:pPr>
      <w:r>
        <w:rPr>
          <w:rFonts w:ascii="Arial" w:cs="Arial" w:eastAsia="Arial" w:hAnsi="Arial"/>
          <w:sz w:val="20"/>
          <w:szCs w:val="20"/>
        </w:rPr>
        <w:t xml:space="preserve">Roles y responsabilidades de gobierno de TI documentados en el ROF y MOF institucional.</w:t>
      </w:r>
    </w:p>
    <w:p>
      <w:pPr>
        <w:pStyle w:val="ListParagraph"/>
        <w:numPr>
          <w:ilvl w:val="0"/>
          <w:numId w:val="2"/>
        </w:numPr>
        <w:spacing w:after="40" w:before="40"/>
      </w:pPr>
      <w:r>
        <w:rPr>
          <w:rFonts w:ascii="Arial" w:cs="Arial" w:eastAsia="Arial" w:hAnsi="Arial"/>
          <w:sz w:val="20"/>
          <w:szCs w:val="20"/>
        </w:rPr>
        <w:t xml:space="preserve">Portafolio de proyectos TI priorizado anualmente y alineado al PETI 2022-2026.</w:t>
      </w:r>
    </w:p>
    <w:p>
      <w:pPr>
        <w:pStyle w:val="ListParagraph"/>
        <w:numPr>
          <w:ilvl w:val="0"/>
          <w:numId w:val="2"/>
        </w:numPr>
        <w:spacing w:after="40" w:before="40"/>
      </w:pPr>
      <w:r>
        <w:rPr>
          <w:rFonts w:ascii="Arial" w:cs="Arial" w:eastAsia="Arial" w:hAnsi="Arial"/>
          <w:sz w:val="20"/>
          <w:szCs w:val="20"/>
        </w:rPr>
        <w:t xml:space="preserve">Mecanismos periódicos de reporte del valor de TI al Directorio del BCRP.</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 (AS-IS)</w:t>
            </w:r>
          </w:p>
        </w:tc>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 (TO-BE)</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existe Sistema Formal de Gobierno de TI (EGIT) bajo COBIT 2019</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 EGIT formal institucionalizado bajo COBIT 2019</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Portafolio de proyectos definido sin gobernanza estructurada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Cartera de proyectos TI priorizada, supervisada y alineada al PETI</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Roles y responsabilidades de TI no formalizados bajo COBIT</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Roles y responsabilidades documentados en ROF/MOF institucional</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 mecanismos formales de reporte de valor TI al Directorio</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Reportes periódicos del valor y riesgos de TI al Directorio del BCRP</w:t>
            </w:r>
          </w:p>
        </w:tc>
      </w:tr>
    </w:tbl>
    <w:p>
      <w:pPr>
        <w:spacing w:after="60" w:before="60"/>
      </w:pPr>
      <w:r>
        <w:t xml:space="preserve"/>
      </w:r>
    </w:p>
    <w:p>
      <w:pPr>
        <w:spacing w:after="60" w:before="60"/>
        <w:jc w:val="both"/>
      </w:pPr>
      <w:r>
        <w:rPr>
          <w:rFonts w:ascii="Arial" w:cs="Arial" w:eastAsia="Arial" w:hAnsi="Arial"/>
          <w:b/>
          <w:bCs/>
          <w:sz w:val="20"/>
          <w:szCs w:val="20"/>
        </w:rPr>
        <w:t xml:space="preserve">Beneficio esperado: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Las inversiones tecnológicas del BCRP tendrán aseguramiento formal de alineación con la estrategia institucional.</w:t>
      </w:r>
    </w:p>
    <w:p>
      <w:pPr>
        <w:pStyle w:val="ListParagraph"/>
        <w:numPr>
          <w:ilvl w:val="0"/>
          <w:numId w:val="2"/>
        </w:numPr>
        <w:spacing w:after="40" w:before="40"/>
      </w:pPr>
      <w:r>
        <w:rPr>
          <w:rFonts w:ascii="Arial" w:cs="Arial" w:eastAsia="Arial" w:hAnsi="Arial"/>
          <w:sz w:val="20"/>
          <w:szCs w:val="20"/>
        </w:rPr>
        <w:t xml:space="preserve">El Directorio podrá supervisar y monitorear estratégicamente el valor y los riesgos de TI.</w:t>
      </w:r>
    </w:p>
    <w:p>
      <w:pPr>
        <w:pStyle w:val="ListParagraph"/>
        <w:numPr>
          <w:ilvl w:val="0"/>
          <w:numId w:val="2"/>
        </w:numPr>
        <w:spacing w:after="40" w:before="40"/>
      </w:pPr>
      <w:r>
        <w:rPr>
          <w:rFonts w:ascii="Arial" w:cs="Arial" w:eastAsia="Arial" w:hAnsi="Arial"/>
          <w:sz w:val="20"/>
          <w:szCs w:val="20"/>
        </w:rPr>
        <w:t xml:space="preserve">Los proyectos del PETI 2022-2026 se ejecutarán con gobernanza, control y medición de resultados.</w:t>
      </w:r>
    </w:p>
    <w:p>
      <w:pPr>
        <w:pStyle w:val="ListParagraph"/>
        <w:numPr>
          <w:ilvl w:val="0"/>
          <w:numId w:val="2"/>
        </w:numPr>
        <w:spacing w:after="40" w:before="40"/>
      </w:pPr>
      <w:r>
        <w:rPr>
          <w:rFonts w:ascii="Arial" w:cs="Arial" w:eastAsia="Arial" w:hAnsi="Arial"/>
          <w:sz w:val="20"/>
          <w:szCs w:val="20"/>
        </w:rPr>
        <w:t xml:space="preserve">El BCRP posicionará a la GTI como socio estratégico de primer nivel institucional.</w:t>
      </w:r>
    </w:p>
    <w:p>
      <w:pPr>
        <w:spacing w:after="60" w:before="60"/>
      </w:pPr>
      <w:r>
        <w:t xml:space="preserve"/>
      </w:r>
    </w:p>
    <w:p>
      <w:pPr>
        <w:spacing w:after="60" w:before="60"/>
        <w:jc w:val="both"/>
      </w:pPr>
      <w:r>
        <w:rPr>
          <w:rFonts w:ascii="Arial" w:cs="Arial" w:eastAsia="Arial" w:hAnsi="Arial"/>
          <w:b/>
          <w:bCs/>
          <w:sz w:val="20"/>
          <w:szCs w:val="20"/>
        </w:rPr>
        <w:t xml:space="preserve">Nivel meta esperado: </w:t>
      </w:r>
      <w:r>
        <w:rPr>
          <w:rFonts w:ascii="Arial" w:cs="Arial" w:eastAsia="Arial" w:hAnsi="Arial"/>
          <w:sz w:val="20"/>
          <w:szCs w:val="20"/>
        </w:rPr>
        <w:t xml:space="preserve">Se proyecta alcanzar Nivel 3 de madurez COBIT en la dimensión de estructura organizativa y gobierno, con EGIT institucionalizado, Comité de Gobierno formal en funcionamiento, roles documentados y cartera de proyectos priorizada y supervisada periódicamente.</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2.3. Dimensión: Tecnología e Infraestructura</w:t>
      </w:r>
    </w:p>
    <w:p>
      <w:pPr>
        <w:spacing w:after="60" w:before="60"/>
        <w:jc w:val="both"/>
      </w:pPr>
      <w:r>
        <w:rPr>
          <w:rFonts w:ascii="Arial" w:cs="Arial" w:eastAsia="Arial" w:hAnsi="Arial"/>
          <w:sz w:val="20"/>
          <w:szCs w:val="20"/>
        </w:rPr>
        <w:t xml:space="preserve">Se proyecta que el BCRP disponga de una infraestructura tecnológica de primer nivel internacional, con tres centros de datos operativos (redundancia geográfica plena), capacidades de big data e IA completamente desplegadas, y herramientas colaborativas (Office 365, Intranet) plenamente implementadas en toda la institución.</w:t>
      </w:r>
    </w:p>
    <w:p>
      <w:pPr>
        <w:spacing w:after="60" w:before="60"/>
      </w:pPr>
      <w:r>
        <w:t xml:space="preserve"/>
      </w:r>
    </w:p>
    <w:p>
      <w:pPr>
        <w:spacing w:after="60" w:before="60"/>
        <w:jc w:val="both"/>
      </w:pPr>
      <w:r>
        <w:rPr>
          <w:rFonts w:ascii="Arial" w:cs="Arial" w:eastAsia="Arial" w:hAnsi="Arial"/>
          <w:b/>
          <w:bCs/>
          <w:sz w:val="20"/>
          <w:szCs w:val="20"/>
        </w:rPr>
        <w:t xml:space="preserve">Estado deseado proyectado: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Tercer data center implementado y operativo para redundancia geográfica plena y continuidad operativa total.</w:t>
      </w:r>
    </w:p>
    <w:p>
      <w:pPr>
        <w:pStyle w:val="ListParagraph"/>
        <w:numPr>
          <w:ilvl w:val="0"/>
          <w:numId w:val="2"/>
        </w:numPr>
        <w:spacing w:after="40" w:before="40"/>
      </w:pPr>
      <w:r>
        <w:rPr>
          <w:rFonts w:ascii="Arial" w:cs="Arial" w:eastAsia="Arial" w:hAnsi="Arial"/>
          <w:sz w:val="20"/>
          <w:szCs w:val="20"/>
        </w:rPr>
        <w:t xml:space="preserve">Infraestructura de big data e IA completamente desplegada en las gerencias misionales (política monetaria, reservas, estudios económicos).</w:t>
      </w:r>
    </w:p>
    <w:p>
      <w:pPr>
        <w:pStyle w:val="ListParagraph"/>
        <w:numPr>
          <w:ilvl w:val="0"/>
          <w:numId w:val="2"/>
        </w:numPr>
        <w:spacing w:after="40" w:before="40"/>
      </w:pPr>
      <w:r>
        <w:rPr>
          <w:rFonts w:ascii="Arial" w:cs="Arial" w:eastAsia="Arial" w:hAnsi="Arial"/>
          <w:sz w:val="20"/>
          <w:szCs w:val="20"/>
        </w:rPr>
        <w:t xml:space="preserve">Office 365 e Intranet colaborativa completamente desplegados en toda la institución.</w:t>
      </w:r>
    </w:p>
    <w:p>
      <w:pPr>
        <w:pStyle w:val="ListParagraph"/>
        <w:numPr>
          <w:ilvl w:val="0"/>
          <w:numId w:val="2"/>
        </w:numPr>
        <w:spacing w:after="40" w:before="40"/>
      </w:pPr>
      <w:r>
        <w:rPr>
          <w:rFonts w:ascii="Arial" w:cs="Arial" w:eastAsia="Arial" w:hAnsi="Arial"/>
          <w:sz w:val="20"/>
          <w:szCs w:val="20"/>
        </w:rPr>
        <w:t xml:space="preserve">Hardware y software corporativo renovados conforme al Plan Estratégico BCRP (OE10).</w:t>
      </w:r>
    </w:p>
    <w:p>
      <w:pPr>
        <w:pStyle w:val="ListParagraph"/>
        <w:numPr>
          <w:ilvl w:val="0"/>
          <w:numId w:val="2"/>
        </w:numPr>
        <w:spacing w:after="40" w:before="40"/>
      </w:pPr>
      <w:r>
        <w:rPr>
          <w:rFonts w:ascii="Arial" w:cs="Arial" w:eastAsia="Arial" w:hAnsi="Arial"/>
          <w:sz w:val="20"/>
          <w:szCs w:val="20"/>
        </w:rPr>
        <w:t xml:space="preserve">Observatorio Tecnológico para CBDC e innovaciones en pagos operativo.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 (AS-IS)</w:t>
            </w:r>
          </w:p>
        </w:tc>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 (TO-BE)</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Dos data centers sin redundancia geográfica plena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Tres data centers con redundancia geográfica plena y continuidad operativa total</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Capacidades de big data e IA en desarrollo (brecha MEDIA)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Infraestructura de big data e IA completamente desplegada en gerencias misionales</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Herramientas colaborativas en despliegue parcial</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Office 365 e Intranet colaborativa plenamente implementados en toda la institución</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 Observatorio Tecnológico para CBDC</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Observatorio Tecnológico CBDC operativo y con investigación activa</w:t>
            </w:r>
          </w:p>
        </w:tc>
      </w:tr>
    </w:tbl>
    <w:p>
      <w:pPr>
        <w:spacing w:after="60" w:before="60"/>
      </w:pPr>
      <w:r>
        <w:t xml:space="preserve"/>
      </w:r>
    </w:p>
    <w:p>
      <w:pPr>
        <w:spacing w:after="60" w:before="60"/>
        <w:jc w:val="both"/>
      </w:pPr>
      <w:r>
        <w:rPr>
          <w:rFonts w:ascii="Arial" w:cs="Arial" w:eastAsia="Arial" w:hAnsi="Arial"/>
          <w:b/>
          <w:bCs/>
          <w:sz w:val="20"/>
          <w:szCs w:val="20"/>
        </w:rPr>
        <w:t xml:space="preserve">Beneficio esperado: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Eliminación del riesgo de indisponibilidad total de sistemas críticos (LBTR, SIMC, SWIFT).</w:t>
      </w:r>
    </w:p>
    <w:p>
      <w:pPr>
        <w:pStyle w:val="ListParagraph"/>
        <w:numPr>
          <w:ilvl w:val="0"/>
          <w:numId w:val="2"/>
        </w:numPr>
        <w:spacing w:after="40" w:before="40"/>
      </w:pPr>
      <w:r>
        <w:rPr>
          <w:rFonts w:ascii="Arial" w:cs="Arial" w:eastAsia="Arial" w:hAnsi="Arial"/>
          <w:sz w:val="20"/>
          <w:szCs w:val="20"/>
        </w:rPr>
        <w:t xml:space="preserve">Mejora sustancial en las capacidades analíticas para política monetaria, gestión de reservas e información macroeconómica.</w:t>
      </w:r>
    </w:p>
    <w:p>
      <w:pPr>
        <w:pStyle w:val="ListParagraph"/>
        <w:numPr>
          <w:ilvl w:val="0"/>
          <w:numId w:val="2"/>
        </w:numPr>
        <w:spacing w:after="40" w:before="40"/>
      </w:pPr>
      <w:r>
        <w:rPr>
          <w:rFonts w:ascii="Arial" w:cs="Arial" w:eastAsia="Arial" w:hAnsi="Arial"/>
          <w:sz w:val="20"/>
          <w:szCs w:val="20"/>
        </w:rPr>
        <w:t xml:space="preserve">Posicionamiento del BCRP como banco central digital de primer nivel en Latinoamérica.</w:t>
      </w:r>
    </w:p>
    <w:p>
      <w:pPr>
        <w:pStyle w:val="ListParagraph"/>
        <w:numPr>
          <w:ilvl w:val="0"/>
          <w:numId w:val="2"/>
        </w:numPr>
        <w:spacing w:after="40" w:before="40"/>
      </w:pPr>
      <w:r>
        <w:rPr>
          <w:rFonts w:ascii="Arial" w:cs="Arial" w:eastAsia="Arial" w:hAnsi="Arial"/>
          <w:sz w:val="20"/>
          <w:szCs w:val="20"/>
        </w:rPr>
        <w:t xml:space="preserve">Mayor productividad institucional mediante herramientas colaborativas modernas.</w:t>
      </w:r>
    </w:p>
    <w:p>
      <w:pPr>
        <w:spacing w:after="60" w:before="60"/>
      </w:pPr>
      <w:r>
        <w:t xml:space="preserve"/>
      </w:r>
    </w:p>
    <w:p>
      <w:pPr>
        <w:spacing w:after="60" w:before="60"/>
        <w:jc w:val="both"/>
      </w:pPr>
      <w:r>
        <w:rPr>
          <w:rFonts w:ascii="Arial" w:cs="Arial" w:eastAsia="Arial" w:hAnsi="Arial"/>
          <w:b/>
          <w:bCs/>
          <w:sz w:val="20"/>
          <w:szCs w:val="20"/>
        </w:rPr>
        <w:t xml:space="preserve">Nivel meta esperado: </w:t>
      </w:r>
      <w:r>
        <w:rPr>
          <w:rFonts w:ascii="Arial" w:cs="Arial" w:eastAsia="Arial" w:hAnsi="Arial"/>
          <w:sz w:val="20"/>
          <w:szCs w:val="20"/>
        </w:rPr>
        <w:t xml:space="preserve">Se proyecta alcanzar Nivel 3 de madurez COBIT en la dimensión de tecnología e infraestructura, con tres data centers operativos, infraestructura de big data e IA desplegada, herramientas colaborativas plenamente implementadas y Observatorio Tecnológico CBDC activo.</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2.4. Dimensión: Seguridad y Control</w:t>
      </w:r>
    </w:p>
    <w:p>
      <w:pPr>
        <w:spacing w:after="60" w:before="60"/>
        <w:jc w:val="both"/>
      </w:pPr>
      <w:r>
        <w:rPr>
          <w:rFonts w:ascii="Arial" w:cs="Arial" w:eastAsia="Arial" w:hAnsi="Arial"/>
          <w:sz w:val="20"/>
          <w:szCs w:val="20"/>
        </w:rPr>
        <w:t xml:space="preserve">Se proyecta que el BCRP cuente con un sistema de ciberseguridad activa de primer nivel, con mecanismos de defensa avanzada (HSM, MDM, VPN doble factor, SIEM), cumplimiento pleno de estándares internacionales (SWIFT, ISO 27001, BIS) y una gestión formal de riesgos tecnológicos desplegada en todos los procesos del Banco.</w:t>
      </w:r>
    </w:p>
    <w:p>
      <w:pPr>
        <w:spacing w:after="60" w:before="60"/>
      </w:pPr>
      <w:r>
        <w:t xml:space="preserve"/>
      </w:r>
    </w:p>
    <w:p>
      <w:pPr>
        <w:spacing w:after="60" w:before="60"/>
        <w:jc w:val="both"/>
      </w:pPr>
      <w:r>
        <w:rPr>
          <w:rFonts w:ascii="Arial" w:cs="Arial" w:eastAsia="Arial" w:hAnsi="Arial"/>
          <w:b/>
          <w:bCs/>
          <w:sz w:val="20"/>
          <w:szCs w:val="20"/>
        </w:rPr>
        <w:t xml:space="preserve">Estado deseado proyectado: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Ciberseguridad con defensa activa completamente implementada: HSM-LBTR, MDM para móviles, doble factor para VPN.</w:t>
      </w:r>
    </w:p>
    <w:p>
      <w:pPr>
        <w:pStyle w:val="ListParagraph"/>
        <w:numPr>
          <w:ilvl w:val="0"/>
          <w:numId w:val="2"/>
        </w:numPr>
        <w:spacing w:after="40" w:before="40"/>
      </w:pPr>
      <w:r>
        <w:rPr>
          <w:rFonts w:ascii="Arial" w:cs="Arial" w:eastAsia="Arial" w:hAnsi="Arial"/>
          <w:sz w:val="20"/>
          <w:szCs w:val="20"/>
        </w:rPr>
        <w:t xml:space="preserve">Cumplimiento pleno y certificado de ISO 27001 y estándares SWIFT.</w:t>
      </w:r>
    </w:p>
    <w:p>
      <w:pPr>
        <w:pStyle w:val="ListParagraph"/>
        <w:numPr>
          <w:ilvl w:val="0"/>
          <w:numId w:val="2"/>
        </w:numPr>
        <w:spacing w:after="40" w:before="40"/>
      </w:pPr>
      <w:r>
        <w:rPr>
          <w:rFonts w:ascii="Arial" w:cs="Arial" w:eastAsia="Arial" w:hAnsi="Arial"/>
          <w:sz w:val="20"/>
          <w:szCs w:val="20"/>
        </w:rPr>
        <w:t xml:space="preserve">Sistema de detección y respuesta ante amenazas (SIEM y Threat Intelligence) operativo.</w:t>
      </w:r>
    </w:p>
    <w:p>
      <w:pPr>
        <w:pStyle w:val="ListParagraph"/>
        <w:numPr>
          <w:ilvl w:val="0"/>
          <w:numId w:val="2"/>
        </w:numPr>
        <w:spacing w:after="40" w:before="40"/>
      </w:pPr>
      <w:r>
        <w:rPr>
          <w:rFonts w:ascii="Arial" w:cs="Arial" w:eastAsia="Arial" w:hAnsi="Arial"/>
          <w:sz w:val="20"/>
          <w:szCs w:val="20"/>
        </w:rPr>
        <w:t xml:space="preserve">Gestión de riesgos tecnológicos desplegada en todos los procesos del Banco (OE14).</w:t>
      </w:r>
    </w:p>
    <w:p>
      <w:pPr>
        <w:pStyle w:val="ListParagraph"/>
        <w:numPr>
          <w:ilvl w:val="0"/>
          <w:numId w:val="2"/>
        </w:numPr>
        <w:spacing w:after="40" w:before="40"/>
      </w:pPr>
      <w:r>
        <w:rPr>
          <w:rFonts w:ascii="Arial" w:cs="Arial" w:eastAsia="Arial" w:hAnsi="Arial"/>
          <w:sz w:val="20"/>
          <w:szCs w:val="20"/>
        </w:rPr>
        <w:t xml:space="preserve">Planes de continuidad operativa (BCP) formalizados y probados periódicamente.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 (AS-IS)</w:t>
            </w:r>
          </w:p>
        </w:tc>
        <w:tc>
          <w:tcPr>
            <w:tcW w:type="dxa" w:w="4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 (TO-BE)</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básicos implementados; brecha ALTA en defensa activa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activa con HSM, MDM, VPN doble factor y SIEM operativos</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Cumplimiento SWIFT vigente pero sin certificación ISO 27001 completa</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Cumplimiento pleno certificado ISO 27001 y estándares SWIFT y BIS</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Marco de gestión de riesgos en proceso de despliegue</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Gestión de riesgos tecnológicos desplegada en todos los procesos del BCRP</w:t>
            </w:r>
          </w:p>
        </w:tc>
      </w:tr>
      <w:tr>
        <w:tc>
          <w:tcPr>
            <w:tcW w:type="dxa" w:w="4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Mecanismos de contingencia parcialmente implementados</w:t>
            </w:r>
          </w:p>
        </w:tc>
        <w:tc>
          <w:tcPr>
            <w:tcW w:type="dxa" w:w="4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Planes BCP formalizados, probados y actualizados periódicamente</w:t>
            </w:r>
          </w:p>
        </w:tc>
      </w:tr>
    </w:tbl>
    <w:p>
      <w:pPr>
        <w:spacing w:after="60" w:before="60"/>
      </w:pPr>
      <w:r>
        <w:t xml:space="preserve"/>
      </w:r>
    </w:p>
    <w:p>
      <w:pPr>
        <w:spacing w:after="60" w:before="60"/>
        <w:jc w:val="both"/>
      </w:pPr>
      <w:r>
        <w:rPr>
          <w:rFonts w:ascii="Arial" w:cs="Arial" w:eastAsia="Arial" w:hAnsi="Arial"/>
          <w:b/>
          <w:bCs/>
          <w:sz w:val="20"/>
          <w:szCs w:val="20"/>
        </w:rPr>
        <w:t xml:space="preserve">Beneficio esperado: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Protección efectiva contra ciberataques sofisticados (APT, ransomware, fraude SWIFT) al sistema financiero.</w:t>
      </w:r>
    </w:p>
    <w:p>
      <w:pPr>
        <w:pStyle w:val="ListParagraph"/>
        <w:numPr>
          <w:ilvl w:val="0"/>
          <w:numId w:val="2"/>
        </w:numPr>
        <w:spacing w:after="40" w:before="40"/>
      </w:pPr>
      <w:r>
        <w:rPr>
          <w:rFonts w:ascii="Arial" w:cs="Arial" w:eastAsia="Arial" w:hAnsi="Arial"/>
          <w:sz w:val="20"/>
          <w:szCs w:val="20"/>
        </w:rPr>
        <w:t xml:space="preserve">Cumplimiento normativo pleno con consecuencias positivas para la reputación internacional del BCRP.</w:t>
      </w:r>
    </w:p>
    <w:p>
      <w:pPr>
        <w:pStyle w:val="ListParagraph"/>
        <w:numPr>
          <w:ilvl w:val="0"/>
          <w:numId w:val="2"/>
        </w:numPr>
        <w:spacing w:after="40" w:before="40"/>
      </w:pPr>
      <w:r>
        <w:rPr>
          <w:rFonts w:ascii="Arial" w:cs="Arial" w:eastAsia="Arial" w:hAnsi="Arial"/>
          <w:sz w:val="20"/>
          <w:szCs w:val="20"/>
        </w:rPr>
        <w:t xml:space="preserve">Reduccion del perfil de riesgo tecnológico institucional de ALTO a MEDIO-BAJO.</w:t>
      </w:r>
    </w:p>
    <w:p>
      <w:pPr>
        <w:pStyle w:val="ListParagraph"/>
        <w:numPr>
          <w:ilvl w:val="0"/>
          <w:numId w:val="2"/>
        </w:numPr>
        <w:spacing w:after="40" w:before="40"/>
      </w:pPr>
      <w:r>
        <w:rPr>
          <w:rFonts w:ascii="Arial" w:cs="Arial" w:eastAsia="Arial" w:hAnsi="Arial"/>
          <w:sz w:val="20"/>
          <w:szCs w:val="20"/>
        </w:rPr>
        <w:t xml:space="preserve">Mayor confianza del sistema financiero nacional en la infraestructura crítica del BCRP.</w:t>
      </w:r>
    </w:p>
    <w:p>
      <w:pPr>
        <w:spacing w:after="60" w:before="60"/>
      </w:pPr>
      <w:r>
        <w:t xml:space="preserve"/>
      </w:r>
    </w:p>
    <w:p>
      <w:pPr>
        <w:spacing w:after="60" w:before="60"/>
        <w:jc w:val="both"/>
      </w:pPr>
      <w:r>
        <w:rPr>
          <w:rFonts w:ascii="Arial" w:cs="Arial" w:eastAsia="Arial" w:hAnsi="Arial"/>
          <w:b/>
          <w:bCs/>
          <w:sz w:val="20"/>
          <w:szCs w:val="20"/>
        </w:rPr>
        <w:t xml:space="preserve">Nivel meta esperado: </w:t>
      </w:r>
      <w:r>
        <w:rPr>
          <w:rFonts w:ascii="Arial" w:cs="Arial" w:eastAsia="Arial" w:hAnsi="Arial"/>
          <w:sz w:val="20"/>
          <w:szCs w:val="20"/>
        </w:rPr>
        <w:t xml:space="preserve">Se proyecta alcanzar Nivel 3 de madurez COBIT en la dimensión de seguridad y control, con políticas de seguridad formalizadas, controles activos implementados, ISO 27001 certificado, SIEM operativo y gestión formal de riesgos tecnológicos en todos los procesos del BCRP.</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2.5. Dimensión: Nivel de Madurez</w:t>
      </w:r>
    </w:p>
    <w:p>
      <w:pPr>
        <w:spacing w:after="60" w:before="60"/>
        <w:jc w:val="both"/>
      </w:pPr>
      <w:r>
        <w:rPr>
          <w:rFonts w:ascii="Arial" w:cs="Arial" w:eastAsia="Arial" w:hAnsi="Arial"/>
          <w:sz w:val="20"/>
          <w:szCs w:val="20"/>
        </w:rPr>
        <w:t xml:space="preserve">Se proyecta que el BCRP evolucione desde un nivel intermedio e informal de gestión tecnológica (Nivel 2) hacia un nivel institucionalizado, definido y supervisado (Nivel 3), en el cual los procesos de Gobierno y Gestión de TI se encuentren formalmente establecidos, documentados, medidos y alineados con los objetivos constitucionales del Banco.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200"/>
      </w:tblGrid>
      <w:tr>
        <w:tc>
          <w:tcPr>
            <w:tcW w:type="dxa" w:w="2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ASPECTO EVALUADO</w:t>
            </w:r>
          </w:p>
        </w:tc>
        <w:tc>
          <w:tcPr>
            <w:tcW w:type="dxa" w:w="21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META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Gestión de sistemas críticos</w:t>
            </w:r>
          </w:p>
        </w:tc>
        <w:tc>
          <w:tcPr>
            <w:tcW w:type="dxa" w:w="2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Operativo con brechas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Sistemas modernizados, documentados y monitoreados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Gobierno de TI formal (EGIT)</w:t>
            </w:r>
          </w:p>
        </w:tc>
        <w:tc>
          <w:tcPr>
            <w:tcW w:type="dxa" w:w="2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1-2 – Sin sistema formal COBIT</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EGIT institucionalizado bajo COBIT 2019</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y control</w:t>
            </w:r>
          </w:p>
        </w:tc>
        <w:tc>
          <w:tcPr>
            <w:tcW w:type="dxa" w:w="2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Controles básicos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Defensa activa, ISO 27001 certificado, SIEM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Infraestructura y redundancia</w:t>
            </w:r>
          </w:p>
        </w:tc>
        <w:tc>
          <w:tcPr>
            <w:tcW w:type="dxa" w:w="2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Sin tercer DC</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Tres data centers, big data e IA desplegados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Monitoreo y evaluación</w:t>
            </w:r>
          </w:p>
        </w:tc>
        <w:tc>
          <w:tcPr>
            <w:tcW w:type="dxa" w:w="2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Indicadores básicos del PETI</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KPIs formales del EGIT reportados al Directorio</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w:t>
            </w:r>
          </w:p>
        </w:tc>
      </w:tr>
    </w:tbl>
    <w:p>
      <w:pPr>
        <w:spacing w:after="60" w:before="60"/>
      </w:pPr>
      <w:r>
        <w:t xml:space="preserve"/>
      </w:r>
    </w:p>
    <w:p>
      <w:pPr>
        <w:spacing w:after="60" w:before="60"/>
        <w:jc w:val="both"/>
      </w:pPr>
      <w:r>
        <w:rPr>
          <w:rFonts w:ascii="Arial" w:cs="Arial" w:eastAsia="Arial" w:hAnsi="Arial"/>
          <w:sz w:val="20"/>
          <w:szCs w:val="20"/>
        </w:rPr>
        <w:t xml:space="preserve">Escala de referencia de capacidad COBIT 2019: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c>
          <w:tcPr>
            <w:tcW w:type="dxa" w:w="1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w:t>
            </w:r>
          </w:p>
        </w:tc>
        <w:tc>
          <w:tcPr>
            <w:tcW w:type="dxa" w:w="2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DENOMINACIÓN</w:t>
            </w:r>
          </w:p>
        </w:tc>
        <w:tc>
          <w:tcPr>
            <w:tcW w:type="dxa" w:w="5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SIGNIFICADO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Incompleto</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No existe o es inexistente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Ejecutado / Inicial</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 hace algo básico pero informal</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Gestionado</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Ya hay cierta planificación y repetición</w:t>
            </w:r>
          </w:p>
        </w:tc>
      </w:tr>
      <w:tr>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26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Definido (META BCRP)</w:t>
            </w:r>
          </w:p>
        </w:tc>
        <w:tc>
          <w:tcPr>
            <w:tcW w:type="dxa" w:w="5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Está documentado, controlado y con responsables asignados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Cuantitativamente gestionado</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Se mide con indicadores y métricas avanzadas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Optimizado</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Mejora continua e innovación permanente</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3. CUADRO RESUMEN COMPARATIVO AS-IS vs. TO-BE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 (AS-IS)</w:t>
            </w:r>
          </w:p>
        </w:tc>
        <w:tc>
          <w:tcPr>
            <w:tcW w:type="dxa" w:w="35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 (TO-BE)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Procesos de TI</w:t>
            </w:r>
          </w:p>
        </w:tc>
        <w:tc>
          <w:tcPr>
            <w:tcW w:type="dxa" w:w="3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LBTR y SIMC operativos con tecnología desactualizada. Integración limitada de plataformas de datos. GESCON básico.</w:t>
            </w:r>
          </w:p>
        </w:tc>
        <w:tc>
          <w:tcPr>
            <w:tcW w:type="dxa" w:w="3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Sistemas críticos modernizados y plenamente integrados. GESCON digitalizado. Procesos estandarizados.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Estructura y Gobierno</w:t>
            </w:r>
          </w:p>
        </w:tc>
        <w:tc>
          <w:tcPr>
            <w:tcW w:type="dxa" w:w="3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existe EGIT formal bajo COBIT 2019. Portafolio sin gobernanza estructurada. Roles no formalizados.</w:t>
            </w:r>
          </w:p>
        </w:tc>
        <w:tc>
          <w:tcPr>
            <w:tcW w:type="dxa" w:w="3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EGIT institucionalizado bajo COBIT 2019. Comité de Gobierno formal. Cartera de proyectos priorizada.</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Tecnología e Infraestructura</w:t>
            </w:r>
          </w:p>
        </w:tc>
        <w:tc>
          <w:tcPr>
            <w:tcW w:type="dxa" w:w="3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Dos data centers sin redundancia plena. Big data e IA en desarrollo. Herramientas colaborativas parciales.</w:t>
            </w:r>
          </w:p>
        </w:tc>
        <w:tc>
          <w:tcPr>
            <w:tcW w:type="dxa" w:w="3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Tres data centers con redundancia geográfica plena. Big data e IA desplegados. Office 365 e Intranet completos.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Seguridad y Control</w:t>
            </w:r>
          </w:p>
        </w:tc>
        <w:tc>
          <w:tcPr>
            <w:tcW w:type="dxa" w:w="3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básicos. Brecha ALTA en defensa activa. Gestión de riesgos en proceso de despliegue.</w:t>
            </w:r>
          </w:p>
        </w:tc>
        <w:tc>
          <w:tcPr>
            <w:tcW w:type="dxa" w:w="3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activa (HSM, MDM, SIEM). ISO 27001 certificado. Gestión de riesgos en todos los procesos.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Nivel de Madurez</w:t>
            </w:r>
          </w:p>
        </w:tc>
        <w:tc>
          <w:tcPr>
            <w:tcW w:type="dxa" w:w="35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Procesos operativos con brechas críticas. Sin gobierno formal ni modernización completa.</w:t>
            </w:r>
          </w:p>
        </w:tc>
        <w:tc>
          <w:tcPr>
            <w:tcW w:type="dxa" w:w="35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Procesos definidos, documentados, controlados y alineados a la misión constitucional del BCRP.</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4. IDENTIFICACIÓN DE BRECHAS (GAP)</w:t>
      </w:r>
    </w:p>
    <w:p>
      <w:pPr>
        <w:spacing w:after="60" w:before="60"/>
        <w:jc w:val="both"/>
      </w:pPr>
      <w:r>
        <w:rPr>
          <w:rFonts w:ascii="Arial" w:cs="Arial" w:eastAsia="Arial" w:hAnsi="Arial"/>
          <w:sz w:val="20"/>
          <w:szCs w:val="20"/>
        </w:rPr>
        <w:t xml:space="preserve">El análisis comparativo entre el estado actual (AS-IS) y el estado deseado (TO-BE) permite identificar las brechas institucionales que deben cerrarse para implementar el sistema de Gobierno de TI del BCRP bajo COBIT 2019:</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OBJETIVOS INSTITUCIONALES</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ACTUAL</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DESEADO</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BRECHA IDENTIFICADA</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Procesos de TI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Promover estabilidad financiera y sistemas de pagos eficientes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LBTR y SIMC con tecnología desactualizada. Bases de datos sectoriales no integradas.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Sistemas críticos modernizados. Bases de datos integradas en tiempo real.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Ausencia de modernización urgente del LBTR y SIMC. Falta de integración de plataformas de datos estadísticos.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Estructura y Gobierno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Desplegar gestión de riesgos a todos los procesos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 EGIT formal bajo COBIT 2019. Portafolio sin gobernanza estructurada.</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EGIT institucionalizado bajo COBIT 2019. Comité de Gobierno formal.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Falta de estructura formal de Gobierno de TI (EGIT). Inexistencia de responsables definidos bajo COBIT 2019. Ausencia de mecanismos de reporte de valor TI al Directorio.</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Tecnología e Infraestructura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Desarrollos informáticos que impulsen la innovación</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Solo dos data centers. Big data e IA en desarrollo. Herramientas colaborativas parciales.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Tres data centers. Big data e IA desplegados. Office 365 completo.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Necesidad de tercer data center urgente. Despliegue incompleto de big data, IA y herramientas colaborativas. Sin Observatorio CBDC operativo.</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Seguridad y Control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Gestión de riesgos institucionales / OE10: Infraestructura segura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básicos. Brecha ALTA en defensa activa. Sin ISO 27001 certificado.</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Defensa activa (HSM, MDM, SIEM). ISO 27001 certificado.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Deficiencia crítica en ciberseguridad activa. Falta de certificación ISO 27001. Gestión de riesgos tecnológicos no desplegada en todos los procesos.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Nivel de Madurez</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 OE14: Gobierno de TI e innovación tecnológica institucionalizada</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2 – Con brechas críticas y sin gobierno formal.</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Nivel 3 – Procesos definidos y gobierno formal EGIT.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Diferencia de un nivel de madurez global. Ausencia de indicadores formales del EGIT, documentación completa y mejora continua institucionalizada.</w:t>
            </w:r>
          </w:p>
        </w:tc>
      </w:tr>
    </w:tbl>
    <w:p>
      <w:pPr>
        <w:spacing w:after="60" w:before="60"/>
      </w:pPr>
      <w:r>
        <w:t xml:space="preserve"/>
      </w:r>
    </w:p>
    <w:p>
      <w:pPr>
        <w:spacing w:after="60" w:before="60"/>
        <w:jc w:val="both"/>
      </w:pPr>
      <w:r>
        <w:rPr>
          <w:rFonts w:ascii="Arial" w:cs="Arial" w:eastAsia="Arial" w:hAnsi="Arial"/>
          <w:sz w:val="20"/>
          <w:szCs w:val="20"/>
        </w:rPr>
        <w:t xml:space="preserve">De manera general, el BCRP presenta una brecha institucional significativa entre su actual gestión tecnológica de carácter operativo-funcional y el modelo de Gobierno de TI proyectado bajo COBIT 2019. La principal diferencia radica en que actualmente la TI opera con sistemas funcionales pero sin gobierno formal, sin modernización completa de sistemas críticos, con ciberseguridad insuficiente y sin un EGIT estructurado; mientras que el estado deseado exige una gestión tecnológica integrada, formalizada, supervisada y alineada a la misión constitucional del Banco.</w:t>
      </w:r>
    </w:p>
    <w:p>
      <w:pPr>
        <w:spacing w:after="60" w:before="60"/>
      </w:pPr>
      <w:r>
        <w:t xml:space="preserve"/>
      </w:r>
    </w:p>
    <w:p>
      <w:r>
        <w:br w:type="page"/>
      </w:r>
    </w:p>
    <w:p>
      <w:pPr>
        <w:shd w:fill="2E5FA3" w:val="clear"/>
        <w:spacing w:after="100" w:before="200"/>
        <w:ind w:left="160"/>
      </w:pPr>
      <w:r>
        <w:rPr>
          <w:rFonts w:ascii="Arial" w:cs="Arial" w:eastAsia="Arial" w:hAnsi="Arial"/>
          <w:b/>
          <w:bCs/>
          <w:color w:val="FFFFFF"/>
          <w:sz w:val="24"/>
          <w:szCs w:val="24"/>
        </w:rPr>
        <w:t xml:space="preserve">5. LO QUE FALTA EJECUTAR PARA COMPLETAR LA IMPLEMENTACIÓN</w:t>
      </w:r>
    </w:p>
    <w:p>
      <w:pPr>
        <w:spacing w:after="60" w:before="60"/>
        <w:jc w:val="both"/>
      </w:pPr>
      <w:r>
        <w:rPr>
          <w:rFonts w:ascii="Arial" w:cs="Arial" w:eastAsia="Arial" w:hAnsi="Arial"/>
          <w:sz w:val="20"/>
          <w:szCs w:val="20"/>
        </w:rPr>
        <w:t xml:space="preserve">Para completar el proyecto de implementación de COBIT 2019 en el BCRP y materializar el estado deseado (TO-BE), basado en el diseño del Sistema de Gobierno de TI (Fase 4), esto es lo que resta ejecutar para cerrar las brechas identificadas:</w:t>
      </w:r>
    </w:p>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5.1. Institucionalización del Gobierno (Dominio EDM)</w:t>
      </w:r>
    </w:p>
    <w:p>
      <w:pPr>
        <w:spacing w:after="60" w:before="60"/>
        <w:jc w:val="both"/>
      </w:pPr>
      <w:r>
        <w:rPr>
          <w:rFonts w:ascii="Arial" w:cs="Arial" w:eastAsia="Arial" w:hAnsi="Arial"/>
          <w:b/>
          <w:bCs/>
          <w:sz w:val="20"/>
          <w:szCs w:val="20"/>
        </w:rPr>
        <w:t xml:space="preserve">Formalizar el EGIT: </w:t>
      </w:r>
      <w:r>
        <w:rPr>
          <w:rFonts w:ascii="Arial" w:cs="Arial" w:eastAsia="Arial" w:hAnsi="Arial"/>
          <w:sz w:val="20"/>
          <w:szCs w:val="20"/>
        </w:rPr>
        <w:t xml:space="preserve">Se debe emitir la Resolución Interna que constituya oficialmente el Comité de Gobierno de TI del BCRP, presidido por la Gerencia General, con representación de las gerencias misionales y de Auditoría Interna. Este acto administrativo es el punto de partida de todo el sistema de gobierno, ya que sin él no existe un marco formal bajo el cual operen los demás procesos COBIT (EDM01). La base legal para su conformación es el Decreto Legislativo N° 1412 y el Reglamento D.S. N° 029-2021-PCM (Art. 4°), adaptados al régimen especial del BCRP como institución autónoma constitucional.</w:t>
      </w:r>
    </w:p>
    <w:p>
      <w:pPr>
        <w:spacing w:after="60" w:before="60"/>
      </w:pPr>
      <w:r>
        <w:t xml:space="preserve"/>
      </w:r>
    </w:p>
    <w:p>
      <w:pPr>
        <w:spacing w:after="60" w:before="60"/>
        <w:jc w:val="both"/>
      </w:pPr>
      <w:r>
        <w:rPr>
          <w:rFonts w:ascii="Arial" w:cs="Arial" w:eastAsia="Arial" w:hAnsi="Arial"/>
          <w:b/>
          <w:bCs/>
          <w:sz w:val="20"/>
          <w:szCs w:val="20"/>
        </w:rPr>
        <w:t xml:space="preserve">Definir Responsabilidades: </w:t>
      </w:r>
      <w:r>
        <w:rPr>
          <w:rFonts w:ascii="Arial" w:cs="Arial" w:eastAsia="Arial" w:hAnsi="Arial"/>
          <w:sz w:val="20"/>
          <w:szCs w:val="20"/>
        </w:rPr>
        <w:t xml:space="preserve">Es necesario actualizar el ROF y MOF institucional para incluir los roles y responsabilidades de gobierno de TI bajo los estándares de COBIT 2019. Sin esta actualización, los integrantes del Comité de Gobierno y del Equipo de Trabajo carecen de obligaciones formales documentadas, lo que limita la efectividad del sistema de gobierno (EDM01, APO07).</w:t>
      </w:r>
    </w:p>
    <w:p>
      <w:pPr>
        <w:spacing w:after="60" w:before="60"/>
      </w:pPr>
      <w:r>
        <w:t xml:space="preserve"/>
      </w:r>
    </w:p>
    <w:p>
      <w:pPr>
        <w:spacing w:after="60" w:before="60"/>
        <w:jc w:val="both"/>
      </w:pPr>
      <w:r>
        <w:rPr>
          <w:rFonts w:ascii="Arial" w:cs="Arial" w:eastAsia="Arial" w:hAnsi="Arial"/>
          <w:b/>
          <w:bCs/>
          <w:sz w:val="20"/>
          <w:szCs w:val="20"/>
        </w:rPr>
        <w:t xml:space="preserve">Mecanismos de Reporte: </w:t>
      </w:r>
      <w:r>
        <w:rPr>
          <w:rFonts w:ascii="Arial" w:cs="Arial" w:eastAsia="Arial" w:hAnsi="Arial"/>
          <w:sz w:val="20"/>
          <w:szCs w:val="20"/>
        </w:rPr>
        <w:t xml:space="preserve">Establecer canales formales para que el Directorio reciba reportes periódicos sobre el valor generado por TI, la gestión de riesgos tecnológicos y el avance de los proyectos del PETI. Estos reportes deben presentarse con la periodicidad establecida en el EGIT (trimestral o semestral) y deben incluir los KPIs formales definidos en la Fase 4 (EDM05, MEA01).</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REQUERIDA</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ESPERADO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Emitir Resolución Interna que constituya el Comité de Gobierno de TI</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 Marco de gobierno y gestión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Resolución Interna firmada por Gerente General</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Actualizar ROF y MOF con roles y responsabilidades de gobierno TI</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APO07 – Recursos humanos de TI</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ROF/MOF actualizados con perfiles COBIT</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Establecer mecanismos formales de reporte de valor TI al Directorio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EDM05, MEA01 – Transparencia y monitoreo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Protocolo de reporte trimestral aprobado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Aprobar política institucional de gobierno de TI</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APO01 – Marco de gestión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Política de Gobierno de TI del BCRP publicada</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5.2. Ejecución de Proyectos de Infraestructura y Sistemas (Dominios APO / BAI)</w:t>
      </w:r>
    </w:p>
    <w:p>
      <w:pPr>
        <w:spacing w:after="60" w:before="60"/>
        <w:jc w:val="both"/>
      </w:pPr>
      <w:r>
        <w:rPr>
          <w:rFonts w:ascii="Arial" w:cs="Arial" w:eastAsia="Arial" w:hAnsi="Arial"/>
          <w:sz w:val="20"/>
          <w:szCs w:val="20"/>
        </w:rPr>
        <w:t xml:space="preserve">Falta materializar los proyectos críticos del PETI 2022-2026 que son la base del estado deseado. Estos proyectos representan las inversiones tecnológicas que cierran directamente las brechas de infraestructura, sistemas y capacidades analíticas identificadas en el AS-IS:</w:t>
      </w:r>
    </w:p>
    <w:p>
      <w:pPr>
        <w:spacing w:after="60" w:before="60"/>
      </w:pPr>
      <w:r>
        <w:t xml:space="preserve"/>
      </w:r>
    </w:p>
    <w:p>
      <w:pPr>
        <w:spacing w:after="60" w:before="60"/>
        <w:jc w:val="both"/>
      </w:pPr>
      <w:r>
        <w:rPr>
          <w:rFonts w:ascii="Arial" w:cs="Arial" w:eastAsia="Arial" w:hAnsi="Arial"/>
          <w:b/>
          <w:bCs/>
          <w:sz w:val="20"/>
          <w:szCs w:val="20"/>
        </w:rPr>
        <w:t xml:space="preserve">Modernización del Core: </w:t>
      </w:r>
      <w:r>
        <w:rPr>
          <w:rFonts w:ascii="Arial" w:cs="Arial" w:eastAsia="Arial" w:hAnsi="Arial"/>
          <w:sz w:val="20"/>
          <w:szCs w:val="20"/>
        </w:rPr>
        <w:t xml:space="preserve">Ejecutar la renovación urgente del Sistema LBTR y del SIMC para eliminar riesgos de continuidad en los pagos nacionales. El nuevo LBTR debe ser diseñado conforme a los estándares ISO 20022 y SWIFT de última generación, con arquitectura de microservicios, cifrado HSM integrado y alta disponibilidad (≥ 99.9% uptime). El SIMC renovado debe integrarse plenamente con el nuevo LBTR para soporte a la innovación en instrumentos monetarios y cambiarios (APO02, BAI03, DSS01).</w:t>
      </w:r>
    </w:p>
    <w:p>
      <w:pPr>
        <w:spacing w:after="60" w:before="60"/>
      </w:pPr>
      <w:r>
        <w:t xml:space="preserve"/>
      </w:r>
    </w:p>
    <w:p>
      <w:pPr>
        <w:spacing w:after="60" w:before="60"/>
        <w:jc w:val="both"/>
      </w:pPr>
      <w:r>
        <w:rPr>
          <w:rFonts w:ascii="Arial" w:cs="Arial" w:eastAsia="Arial" w:hAnsi="Arial"/>
          <w:b/>
          <w:bCs/>
          <w:sz w:val="20"/>
          <w:szCs w:val="20"/>
        </w:rPr>
        <w:t xml:space="preserve">Tercer Data Center: </w:t>
      </w:r>
      <w:r>
        <w:rPr>
          <w:rFonts w:ascii="Arial" w:cs="Arial" w:eastAsia="Arial" w:hAnsi="Arial"/>
          <w:sz w:val="20"/>
          <w:szCs w:val="20"/>
        </w:rPr>
        <w:t xml:space="preserve">Implementar el tercer centro de datos para alcanzar la redundancia geográfica plena exigida por los estándares del BIS. Este DC debe operar bajo certificación Tier III/IV con replicación en tiempo real de todos los sistemas críticos, failover automático y planes de continuidad operativa (BCP) formalizados y probados periódicamente (EDM04, BAI04, DSS04).</w:t>
      </w:r>
    </w:p>
    <w:p>
      <w:pPr>
        <w:spacing w:after="60" w:before="60"/>
      </w:pPr>
      <w:r>
        <w:t xml:space="preserve"/>
      </w:r>
    </w:p>
    <w:p>
      <w:pPr>
        <w:spacing w:after="60" w:before="60"/>
        <w:jc w:val="both"/>
      </w:pPr>
      <w:r>
        <w:rPr>
          <w:rFonts w:ascii="Arial" w:cs="Arial" w:eastAsia="Arial" w:hAnsi="Arial"/>
          <w:b/>
          <w:bCs/>
          <w:sz w:val="20"/>
          <w:szCs w:val="20"/>
        </w:rPr>
        <w:t xml:space="preserve">Analítica Avanzada: </w:t>
      </w:r>
      <w:r>
        <w:rPr>
          <w:rFonts w:ascii="Arial" w:cs="Arial" w:eastAsia="Arial" w:hAnsi="Arial"/>
          <w:sz w:val="20"/>
          <w:szCs w:val="20"/>
        </w:rPr>
        <w:t xml:space="preserve">Desplegar completamente las plataformas de Big Data e Inteligencia Artificial en las gerencias misionales (Estudios Económicos, GOMEF y Reservas). Esto incluye la implementación de datamarts especializados por gerencia, herramientas de machine learning para modelos de proyección macroeconómica, y capacidades de web scraping y analítica predictiva que soporten las decisiones de política monetaria y gestión de reservas (APO04, BAI02, BAI03, BAI08).</w:t>
      </w:r>
    </w:p>
    <w:p>
      <w:pPr>
        <w:spacing w:after="60" w:before="60"/>
      </w:pPr>
      <w:r>
        <w:t xml:space="preserve"/>
      </w:r>
    </w:p>
    <w:p>
      <w:pPr>
        <w:spacing w:after="60" w:before="60"/>
        <w:jc w:val="both"/>
      </w:pPr>
      <w:r>
        <w:rPr>
          <w:rFonts w:ascii="Arial" w:cs="Arial" w:eastAsia="Arial" w:hAnsi="Arial"/>
          <w:b/>
          <w:bCs/>
          <w:sz w:val="20"/>
          <w:szCs w:val="20"/>
        </w:rPr>
        <w:t xml:space="preserve">Integración de Datos: </w:t>
      </w:r>
      <w:r>
        <w:rPr>
          <w:rFonts w:ascii="Arial" w:cs="Arial" w:eastAsia="Arial" w:hAnsi="Arial"/>
          <w:sz w:val="20"/>
          <w:szCs w:val="20"/>
        </w:rPr>
        <w:t xml:space="preserve">Consolidar la base de datos integrada para estadísticas de balanza de pagos y mercado laboral en tiempo real. Este proyecto es crítico para que la Gerencia de Estudios Económicos y la Gerencia de Política Monetaria puedan acceder a información macroeconómica precisa y oportuna que soporte las decisiones del Directorio (APO14, BAI02, BAI03).</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PROYECTO A EJECUTAR</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ESPERADO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Nuevo Sistema LBTR (ISO 20022, alta disponibilidad, HSM integrado)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APO02, BAI03, DSS01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LBTR renovado operativo con disponibilidad ≥ 99.9%</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del SIMC e integración con nuevo LBTR</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BAI03, DSS01, APO02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SIMC modernizado integrado al nuevo LBTR</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data center (Tier III/IV, replicación tiempo real, failover automático)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EDM04, BAI04, DSS04, APO06</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DC operativo con BCP probado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Plataforma de big data e IA en gerencias misionales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BAI02, BAI03, BAI08</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Datamarts por gerencia y herramientas de ML operativas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de datos integrada (balanza de pagos y mercado laboral)</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APO14, BAI02, BAI03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integrada disponible en tiempo real</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5.3. Fortalecimiento de la Seguridad y Control (Dominios APO / DSS)</w:t>
      </w:r>
    </w:p>
    <w:p>
      <w:pPr>
        <w:spacing w:after="60" w:before="60"/>
        <w:jc w:val="both"/>
      </w:pPr>
      <w:r>
        <w:rPr>
          <w:rFonts w:ascii="Arial" w:cs="Arial" w:eastAsia="Arial" w:hAnsi="Arial"/>
          <w:b/>
          <w:bCs/>
          <w:sz w:val="20"/>
          <w:szCs w:val="20"/>
        </w:rPr>
        <w:t xml:space="preserve">Defensa Activa: </w:t>
      </w:r>
      <w:r>
        <w:rPr>
          <w:rFonts w:ascii="Arial" w:cs="Arial" w:eastAsia="Arial" w:hAnsi="Arial"/>
          <w:sz w:val="20"/>
          <w:szCs w:val="20"/>
        </w:rPr>
        <w:t xml:space="preserve">Implementar las soluciones técnicas de HSM para el LBTR, MDM para dispositivos móviles y el doble factor de autenticación para VPN. Estas soluciones constituyen la arquitectura de defensa activa que el BCRP necesita para proteger sus sistemas críticos ante ataques sofisticados (APT, ransomware, fraude SWIFT). Complementariamente, se debe implementar un sistema SIEM (Security Information and Event Management) y un programa de Threat Intelligence para detección y respuesta ante amenazas en tiempo real (APO12, APO13, DSS05).</w:t>
      </w:r>
    </w:p>
    <w:p>
      <w:pPr>
        <w:spacing w:after="60" w:before="60"/>
      </w:pPr>
      <w:r>
        <w:t xml:space="preserve"/>
      </w:r>
    </w:p>
    <w:p>
      <w:pPr>
        <w:spacing w:after="60" w:before="60"/>
        <w:jc w:val="both"/>
      </w:pPr>
      <w:r>
        <w:rPr>
          <w:rFonts w:ascii="Arial" w:cs="Arial" w:eastAsia="Arial" w:hAnsi="Arial"/>
          <w:b/>
          <w:bCs/>
          <w:sz w:val="20"/>
          <w:szCs w:val="20"/>
        </w:rPr>
        <w:t xml:space="preserve">Certificación Internacional: </w:t>
      </w:r>
      <w:r>
        <w:rPr>
          <w:rFonts w:ascii="Arial" w:cs="Arial" w:eastAsia="Arial" w:hAnsi="Arial"/>
          <w:sz w:val="20"/>
          <w:szCs w:val="20"/>
        </w:rPr>
        <w:t xml:space="preserve">Iniciar el proceso formal para certificar la institución bajo el estándar ISO 27001. Este proceso implica la realización de una auditoría de brechas inicial, el diseño e implementación del Sistema de Gestión de Seguridad de la Información (SGSI), la formación del personal y la contratación de un organismo certificador acreditado. La certificación ISO 27001 es un requisito implícito para un banco central de primer nivel internacional y fortalece la confianza del sistema financiero nacional en la infraestructura crítica del BCRP (APO13, MEA03).</w:t>
      </w:r>
    </w:p>
    <w:p>
      <w:pPr>
        <w:spacing w:after="60" w:before="60"/>
      </w:pPr>
      <w:r>
        <w:t xml:space="preserve"/>
      </w:r>
    </w:p>
    <w:p>
      <w:pPr>
        <w:spacing w:after="60" w:before="60"/>
        <w:jc w:val="both"/>
      </w:pPr>
      <w:r>
        <w:rPr>
          <w:rFonts w:ascii="Arial" w:cs="Arial" w:eastAsia="Arial" w:hAnsi="Arial"/>
          <w:b/>
          <w:bCs/>
          <w:sz w:val="20"/>
          <w:szCs w:val="20"/>
        </w:rPr>
        <w:t xml:space="preserve">Gestión de Riesgos: </w:t>
      </w:r>
      <w:r>
        <w:rPr>
          <w:rFonts w:ascii="Arial" w:cs="Arial" w:eastAsia="Arial" w:hAnsi="Arial"/>
          <w:sz w:val="20"/>
          <w:szCs w:val="20"/>
        </w:rPr>
        <w:t xml:space="preserve">Desplegar el marco de gestión de riesgos tecnológicos en todos los procesos del Banco, no solo en TI. Esto implica que la Gerencia de Riesgos incorpore formalmente los riesgos operativos de TI (LBTR, SIMC, ciberseguridad, continuidad) en el marco general de riesgos institucionales, con actualizaciones periódicas del Análisis de Impacto de Negocio (BIA) y ejercicios integrales de continuidad operativa (EDM03, APO12, MEA02).</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DE SEGURIDAD REQUERIDA</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ESPERADO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HSM-LBTR, MDM para móviles y VPN doble factor</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APO13, DSS05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Controles activos operativos y certificados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SIEM y Programa de Threat Intelligence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APO12, DSS05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SIEM operativo con alertas en tiempo real</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Iniciar y completar proceso de certificación ISO 27001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APO13, MEA03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Certificado ISO 27001 emitido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Desplegar gestión de riesgos TI en todos los procesos del Banco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EDM03, APO12, MEA02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BIA actualizado; ejercicios BCP ejecutados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Reforzar permanentemente protocolos SWIFT y BIS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APO12, DSS05, MEA03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Certificación SWIFT Customer Security Programme (CSP)</w:t>
            </w:r>
          </w:p>
        </w:tc>
      </w:tr>
    </w:tbl>
    <w:p>
      <w:pPr>
        <w:spacing w:after="60" w:before="60"/>
      </w:pPr>
      <w:r>
        <w:t xml:space="preserve"/>
      </w:r>
    </w:p>
    <w:p>
      <w:pPr>
        <w:pBdr>
          <w:bottom w:val="single" w:color="2E5FA3" w:sz="4"/>
        </w:pBdr>
        <w:spacing w:after="80" w:before="160"/>
      </w:pPr>
      <w:r>
        <w:rPr>
          <w:rFonts w:ascii="Arial" w:cs="Arial" w:eastAsia="Arial" w:hAnsi="Arial"/>
          <w:b/>
          <w:bCs/>
          <w:color w:val="1F3864"/>
          <w:sz w:val="22"/>
          <w:szCs w:val="22"/>
        </w:rPr>
        <w:t xml:space="preserve">5.4. Gestión del Cambio y Monitoreo (Dominios BAI / MEA)</w:t>
      </w:r>
    </w:p>
    <w:p>
      <w:pPr>
        <w:spacing w:after="60" w:before="60"/>
        <w:jc w:val="both"/>
      </w:pPr>
      <w:r>
        <w:rPr>
          <w:rFonts w:ascii="Arial" w:cs="Arial" w:eastAsia="Arial" w:hAnsi="Arial"/>
          <w:b/>
          <w:bCs/>
          <w:sz w:val="20"/>
          <w:szCs w:val="20"/>
        </w:rPr>
        <w:t xml:space="preserve">Digitalización del Conocimiento: </w:t>
      </w:r>
      <w:r>
        <w:rPr>
          <w:rFonts w:ascii="Arial" w:cs="Arial" w:eastAsia="Arial" w:hAnsi="Arial"/>
          <w:sz w:val="20"/>
          <w:szCs w:val="20"/>
        </w:rPr>
        <w:t xml:space="preserve">Completar el despliegue de Office 365, la nueva Intranet y el robustecimiento de GESCON, incluyendo la digitalización total de las actas del Directorio. Esta iniciativa es esencial para que el BCRP gestione efectivamente su capital intelectual institucional, facilite el trabajo colaborativo y garantice la memoria corporativa del Banco a largo plazo (APO07, BAI05, BAI08).</w:t>
      </w:r>
    </w:p>
    <w:p>
      <w:pPr>
        <w:spacing w:after="60" w:before="60"/>
      </w:pPr>
      <w:r>
        <w:t xml:space="preserve"/>
      </w:r>
    </w:p>
    <w:p>
      <w:pPr>
        <w:spacing w:after="60" w:before="60"/>
        <w:jc w:val="both"/>
      </w:pPr>
      <w:r>
        <w:rPr>
          <w:rFonts w:ascii="Arial" w:cs="Arial" w:eastAsia="Arial" w:hAnsi="Arial"/>
          <w:b/>
          <w:bCs/>
          <w:sz w:val="20"/>
          <w:szCs w:val="20"/>
        </w:rPr>
        <w:t xml:space="preserve">Medición del Desempeño: </w:t>
      </w:r>
      <w:r>
        <w:rPr>
          <w:rFonts w:ascii="Arial" w:cs="Arial" w:eastAsia="Arial" w:hAnsi="Arial"/>
          <w:sz w:val="20"/>
          <w:szCs w:val="20"/>
        </w:rPr>
        <w:t xml:space="preserve">Activar el sistema de KPIs para monitorear que la disponibilidad de sistemas críticos sea ≥ 99.9%, el RTO ≤ 4 horas, los incidentes de seguridad críticos se resuelvan 100% en ≤ 24 horas, y que el nivel de madurez COBIT alcance efectivamente el Nivel 3 (Definido). Estos KPIs deben reportarse periódicamente al Directorio del BCRP como parte del sistema formal de gobierno de TI (MEA01, MEA02, MEA03).</w:t>
      </w:r>
    </w:p>
    <w:p>
      <w:pPr>
        <w:spacing w:after="60" w:before="60"/>
      </w:pPr>
      <w:r>
        <w:t xml:space="preserve"/>
      </w:r>
    </w:p>
    <w:p>
      <w:pPr>
        <w:spacing w:after="60" w:before="60"/>
        <w:jc w:val="both"/>
      </w:pPr>
      <w:r>
        <w:rPr>
          <w:rFonts w:ascii="Arial" w:cs="Arial" w:eastAsia="Arial" w:hAnsi="Arial"/>
          <w:b/>
          <w:bCs/>
          <w:sz w:val="20"/>
          <w:szCs w:val="20"/>
        </w:rPr>
        <w:t xml:space="preserve">Observatorio CBDC: </w:t>
      </w:r>
      <w:r>
        <w:rPr>
          <w:rFonts w:ascii="Arial" w:cs="Arial" w:eastAsia="Arial" w:hAnsi="Arial"/>
          <w:sz w:val="20"/>
          <w:szCs w:val="20"/>
        </w:rPr>
        <w:t xml:space="preserve">Poner en funcionamiento el Observatorio Tecnológico para la investigación e implementación de la Moneda Digital del Banco Central. Este Observatorio debe monitorear los desarrollos de CBDC en bancos centrales líderes (BCE, Fed, BIS), analizar el impacto en el mecanismo de transmisión de la política monetaria peruana y proponer un marco de referencia para una eventual CBDC del BCRP (APO04, BAI02).</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DE GESTIÓN DEL CAMBIO REQUERIDA</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27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ESPERADO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Completar despliegue de Office 365 e Intranet colaborativa en toda la institución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APO07, BAI05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Office 365 e Intranet operativos 100%</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Fortalecer GESCON y digitalizar actas y documentos del Directorio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BAI08, APO07</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GESCON robusto; actas del Directorio digitalizadas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Activar sistema de KPIs del EGIT con reporte al Directorio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MEA01, MEA02, MEA03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Dashboard de KPIs del EGIT operativo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Poner en funcionamiento el Observatorio Tecnológico CBDC</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BAI02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Observatorio CBDC activo con informes periódicos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Lanzar programa de gestión del cambio para adopción del EGIT</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BAI05, APO07</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Plan de capacitación y comunicación ejecutado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Publicar el nuevo Portal Web institucional moderno</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BAI03, DSS02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Nuevo portal web publicado y operativo</w:t>
            </w:r>
          </w:p>
        </w:tc>
      </w:tr>
    </w:tbl>
    <w:p>
      <w:pPr>
        <w:spacing w:after="60" w:before="60"/>
      </w:pPr>
      <w:r>
        <w:t xml:space="preserve"/>
      </w:r>
    </w:p>
    <w:p>
      <w:pPr>
        <w:spacing w:after="60" w:before="60"/>
        <w:jc w:val="both"/>
      </w:pPr>
      <w:r>
        <w:rPr>
          <w:rFonts w:ascii="Arial" w:cs="Arial" w:eastAsia="Arial" w:hAnsi="Arial"/>
          <w:sz w:val="20"/>
          <w:szCs w:val="20"/>
        </w:rPr>
        <w:t xml:space="preserve">La ejecución coordinada y sostenida de estas cuatro líneas de acción (Institucionalización del Gobierno, Ejecución de Proyectos de Infraestructura, Fortalecimiento de Seguridad y Gestión del Cambio) constituye la hoja de ruta completa que el BCRP debe seguir para cerrar las brechas del AS-IS, alcanzar el estado deseado TO-BE y posicionarse como un banco central autónomo, moderno y de primer nivel internacional, conforme a su Visión institucional.</w:t>
      </w:r>
    </w:p>
    <w:p>
      <w:pPr>
        <w:spacing w:after="60" w:before="60"/>
      </w:pPr>
      <w:r>
        <w:t xml:space="preserve"/>
      </w:r>
    </w:p>
    <w:p>
      <w:r>
        <w:br w:type="page"/>
      </w:r>
    </w:p>
    <w:p>
      <w:pPr>
        <w:shd w:fill="1F3864" w:val="clear"/>
        <w:spacing w:after="140" w:before="280"/>
        <w:ind w:left="160" w:right="160"/>
      </w:pPr>
      <w:r>
        <w:rPr>
          <w:rFonts w:ascii="Arial" w:cs="Arial" w:eastAsia="Arial" w:hAnsi="Arial"/>
          <w:b/>
          <w:bCs/>
          <w:color w:val="FFFFFF"/>
          <w:sz w:val="28"/>
          <w:szCs w:val="28"/>
        </w:rPr>
        <w:t xml:space="preserve">FASE 4: ¿QUÉ DEBE HACERSE? – DISEÑO DEL SISTEMA DE GOBIERNO DE TI</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1. LÓGICA DE LA FASE 4</w:t>
      </w:r>
    </w:p>
    <w:p>
      <w:pPr>
        <w:spacing w:after="60" w:before="60"/>
        <w:jc w:val="both"/>
      </w:pPr>
      <w:r>
        <w:rPr>
          <w:rFonts w:ascii="Arial" w:cs="Arial" w:eastAsia="Arial" w:hAnsi="Arial"/>
          <w:sz w:val="20"/>
          <w:szCs w:val="20"/>
        </w:rPr>
        <w:t xml:space="preserve">La Fase 4 nace directamente del análisis de brechas (GAP) identificado en la Fase 3. Cada brecha detectada entre el AS-IS y el TO-BE determina qué objetivos COBIT 2019 y qué componentes del sistema de gobierno deben activarse para cerrarlas. El diseño del sistema de gobierno responde a la pregunta: ¿Qué objetivos COBIT y qué componentes permitirán cerrar cada brecha institucional del BCRP?</w:t>
      </w:r>
    </w:p>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2. MATRIZ DE RELACIÓN: OBJETIVOS INSTITUCIONALES – AS-IS – TO-BE – GAP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00"/>
      </w:tblGrid>
      <w:tr>
        <w:tc>
          <w:tcPr>
            <w:tcW w:type="dxa" w:w="23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 INSTITUCIONAL (BCRP)</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AS-IS</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TO-BE</w:t>
            </w:r>
          </w:p>
        </w:tc>
        <w:tc>
          <w:tcPr>
            <w:tcW w:type="dxa" w:w="23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Promover la estabilidad financiera y sistemas de pagos eficientes y competitivos</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LBTR desactualizado; SIMC con tecnología que limita innovación; sistema de pagos con riesgo de continuidad</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LBTR y SIMC renovados, seguros y plenamente operativos; Observatorio CBDC e innovaciones en pagos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Falta modernización urgente del LBTR y SIMC; ausencia de Observatorio Tecnológico CBDC</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Contar con desarrollos informáticos y servicios tecnológicos que impulsen la innovación</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Solo dos data centers; big data e IA en desarrollo; herramientas colaborativas parciales; portal web desactualizado</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Tres data centers; big data e IA desplegados; Office 365 completo; nuevo portal web moderno</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Necesidad de tercer data center; despliegue incompleto de big data, IA y herramientas colaborativas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OE14: Desplegar la gestión de riesgos a todos los procesos del Banco</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 EGIT formal; ciberseguridad básica insuficiente; gestión de riesgos tecnológicos en proceso de despliegue</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EGIT institucionalizado; defensa activa (HSM, MDM, SIEM); ISO 27001 certificado; gestión de riesgos en todos los procesos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Falta de EGIT formal bajo COBIT 2019; brecha crítica en ciberseguridad activa; sin ISO 27001 certificado</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 Mantener la inflación en el rango meta y OE5: Gestión eficiente de reservas internacionales</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Bases de datos sectoriales no integradas; datamarts parciales; capacidades analíticas limitadas para política monetaria y reservas</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Bases de datos estadísticas integradas en tiempo real; datamarts completos; IA aplicada a política monetaria y reservas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Ausencia de integración plena de plataformas de datos; datamarts incompletos; capacidades de IA no desplegadas en gerencias misionales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OE9: Crear condiciones para atraer y retener talento profesional</w:t>
            </w:r>
          </w:p>
        </w:tc>
        <w:tc>
          <w:tcPr>
            <w:tcW w:type="dxa" w:w="2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Office 365 e Intranet colaborativa no completamente desplegados; GESCON básico</w:t>
            </w:r>
          </w:p>
        </w:tc>
        <w:tc>
          <w:tcPr>
            <w:tcW w:type="dxa" w:w="2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Herramientas colaborativas plenamente desplegadas; GESCON robusto; gestión del conocimiento digitalizada</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Despliegue incompleto de herramientas colaborativas y GESCON; digitalización incompleta de conocimiento institucional</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3. CASCADA DE OBJETIVOS COBIT 2019 – BCRP</w:t>
      </w:r>
    </w:p>
    <w:p>
      <w:pPr>
        <w:spacing w:after="60" w:before="60"/>
        <w:jc w:val="both"/>
      </w:pPr>
      <w:r>
        <w:rPr>
          <w:rFonts w:ascii="Arial" w:cs="Arial" w:eastAsia="Arial" w:hAnsi="Arial"/>
          <w:sz w:val="20"/>
          <w:szCs w:val="20"/>
        </w:rPr>
        <w:t xml:space="preserve">Aplicando la Cascada de Objetivos de COBIT 2019 (Objetivos Empresariales → Objetivos de Alineación → Objetivos de Gobierno y Gestión), se mapean las brechas del BCRP con los procesos COBIT que deben activarse: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600"/>
      </w:tblGrid>
      <w:tr>
        <w:tc>
          <w:tcPr>
            <w:tcW w:type="dxa" w:w="2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BRECHA IDENTIFICADA</w:t>
            </w:r>
          </w:p>
        </w:tc>
        <w:tc>
          <w:tcPr>
            <w:tcW w:type="dxa" w:w="1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DOMINIO COBIT</w:t>
            </w:r>
          </w:p>
        </w:tc>
        <w:tc>
          <w:tcPr>
            <w:tcW w:type="dxa" w:w="2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PROCESOS COBIT APLICABLES</w:t>
            </w:r>
          </w:p>
        </w:tc>
        <w:tc>
          <w:tcPr>
            <w:tcW w:type="dxa" w:w="26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 LA ACCIÓN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Ausencia de Sistema Formal de Gobierno de TI (EGIT)</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EDM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EDM01 – Asegurar el marco de gobierno y gestión
EDM05 – Asegurar la transparencia para las partes interesadas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Establecer formalmente el EGIT del BCRP: aprobar políticas de gobierno de TI, constituir el Comité de Gobierno de TI mediante resolución interna y definir mecanismos de reporte al Directorio.</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urgente del LBTR y SIMC</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APO / BAI / DSS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APO02 – Gestionar la estrategia
BAI03 – Gestionar la identificación e implementación de soluciones
DSS01 – Gestionar las operaciones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Formular el plan de modernización del LBTR y SIMC alineado al PETI 2022-2026 y a los estándares de la industria (ISO 20022, SWIFT). Gestionar la implementación y asegurar la continuidad operativa.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Implementación del tercer data center</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EDM / BAI / DSS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EDM04 – Asegurar la optimización de recursos
APO06 – Gestionar el presupuesto y los costes
BAI04 – Gestionar la disponibilidad y capacidad
DSS04 – Gestionar la continuidad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Aprobar y gestionar la implementación del tercer data center para lograr redundancia geográfica plena. Asegurar los recursos presupuestales y gestionar la continuidad operativa durante la implementación.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Fortalecimiento de ciberseguridad activa</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APO / DSS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EDM03 – Asegurar la optimización del riesgo
APO12 – Gestionar el riesgo
APO13 – Gestionar la seguridad
DSS05 – Gestionar los servicios de seguridad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defensa activa (HSM-LBTR, MDM, VPN doble factor, SIEM, Threat Intelligence). Certificar ISO 27001. Desplegar la gestión de riesgos tecnológicos en todos los procesos del Banco (OE14).</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Despliegue de big data e IA en gerencias misionales</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APO / BAI</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 Gestionar la innovación
BAI02 – Gestionar la definición de requisitos
BAI03 – Gestionar la identificación e implementación de soluciones
BAI08 – Gestionar el conocimiento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Desplegar infraestructura de big data, datamarts y herramientas de IA en las gerencias misionales (política monetaria, reservas, estudios económicos). Implementar Observatorio Tecnológico CBDC.</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Despliegue de herramientas colaborativas y gestión del conocimiento</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APO / BAI</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APO07 – Gestionar los recursos humanos
BAI05 – Gestionar el cambio organizativo
BAI08 – Gestionar el conocimiento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Completar el despliegue de Office 365, Intranet colaborativa y GESCON en toda la institución. Digitalizar actas del Directorio y gestionar el cambio organizacional asociado.</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Establecimiento de gobierno formal y monitoreo del EGIT</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18"/>
                <w:szCs w:val="18"/>
              </w:rPr>
              <w:t xml:space="preserve">MEA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MEA01 – Gestionar el seguimiento del rendimiento y la conformidad
MEA02 – Gestionar el sistema de control interno
MEA03 – Gestionar la conformidad con los requisitos externos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KPIs formales del EGIT: disponibilidad de sistemas ≥ 99.9%, RTO ≤ 4 horas, incidentes de seguridad 100% resueltos en ≤ 24h, cumplimiento normativo 100%, nivel de madurez COBIT objetivo Nivel 3.</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4. KPIs DEL SISTEMA DE GOBIERNO DE TI – BCRP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800"/>
      </w:tblGrid>
      <w:tr>
        <w:tc>
          <w:tcPr>
            <w:tcW w:type="dxa" w:w="3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 CLAVE (KPI)</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META</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Disponibilidad de sistemas críticos (LBTR, SIMC, SWIFT)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99.9%</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DSS01 / BAI04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Tiempo de recuperación ante incidentes (RTO)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4 horas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DSS04 / BAI04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Incidentes de seguridad críticos resueltos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100% en ≤ 24h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DSS05 / APO13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 – Seguridad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Porcentaje de proyectos PETI ejecutados en tiempo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90%</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APO02 / BAI01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Satisfacción de gerencias misionales con servicios TI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85%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MEA01 / DSS02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Nivel de madurez COBIT (promedio procesos críticos)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Nivel 3 Definido</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MEA01 / EDM01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Cumplimiento normativo (SWIFT, ISO 27001, BIS)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MEA03 / APO13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GTI – Seguridad</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5. PORTAFOLIO DE PROYECTOS ESTRATÉGICOS TI – PETI 2022-2026</w:t>
      </w:r>
    </w:p>
    <w:p>
      <w:pPr>
        <w:spacing w:after="60" w:before="60"/>
        <w:jc w:val="both"/>
      </w:pPr>
      <w:r>
        <w:rPr>
          <w:rFonts w:ascii="Arial" w:cs="Arial" w:eastAsia="Arial" w:hAnsi="Arial"/>
          <w:sz w:val="20"/>
          <w:szCs w:val="20"/>
        </w:rPr>
        <w:t xml:space="preserve">Los siguientes proyectos del PETI 2022-2026 son los instrumentos que cerrarán las brechas identificadas en la Fase 3 y permitirán alcanzar el estado deseado (TO-BE):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400"/>
        <w:gridCol w:w="1800"/>
        <w:gridCol w:w="1800"/>
      </w:tblGrid>
      <w:tr>
        <w:tc>
          <w:tcPr>
            <w:tcW w:type="dxa" w:w="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22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PROYECTO ESTRATÉGICO</w:t>
            </w:r>
          </w:p>
        </w:tc>
        <w:tc>
          <w:tcPr>
            <w:tcW w:type="dxa" w:w="1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BRECHA QUE CIERRA</w:t>
            </w:r>
          </w:p>
        </w:tc>
        <w:tc>
          <w:tcPr>
            <w:tcW w:type="dxa" w:w="14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 BCRP</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PROCESO COBIT</w:t>
            </w:r>
          </w:p>
        </w:tc>
        <w:tc>
          <w:tcPr>
            <w:tcW w:type="dxa" w:w="1800"/>
            <w:gridSpan w:val="1"/>
            <w:tcBorders>
              <w:top w:val="single" w:color="2E5FA3" w:sz="4"/>
              <w:left w:val="single" w:color="2E5FA3" w:sz="4"/>
              <w:bottom w:val="single" w:color="2E5FA3" w:sz="4"/>
              <w:right w:val="single" w:color="2E5FA3"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Nuevo Sistema LBTR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LBTR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OE10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EDM02, APO02, BAI03, DSS01</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ALTA – Urgente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Tercer Data Center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Redundancia plena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OE12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EDM04, APO06, BAI04, DSS04</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ALTA – Urgente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Ciberseguridad activa (HSM, MDM, VPN doble factor)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Defensa activa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OE10, OE14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EDM03, APO12, APO13, DSS05</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ALTA – Urgente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del SIMC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Modernización SIMC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OE10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APO02, BAI03, DSS01</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Infraestructura big data e IA (Datamarts, Machine Learning)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Analítica avanzada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OE1, OE2, OE5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BAI02, BAI03, BAI08</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 – Alta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6</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Base de datos integrada (balanza de pagos, mercado laboral)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Integración estadística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OE2, OE5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APO14, BAI02, BAI03</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ALTA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7</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Despliegue completo Office 365 e Intranet colaborativa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Herramientas colaborativas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OE9, OE11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APO07, BAI05, BAI08</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8</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Fortalecimiento GESCON y digitalización de conocimiento institucional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Gestión del conocimiento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OE9, OE11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BAI08, APO07</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9</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Nuevo Portal Web institucional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Comunicación digital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OE7, OE10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BAI03, DSS02</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Observatorio Tecnológico CBDC e innovaciones en pagos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Innovación y CBDC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OE4, OE10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APO04, BAI02</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MEDIA</w:t>
            </w:r>
          </w:p>
        </w:tc>
      </w:tr>
    </w:tbl>
    <w:p>
      <w:pPr>
        <w:spacing w:after="60" w:before="60"/>
      </w:pPr>
      <w:r>
        <w:t xml:space="preserve"/>
      </w:r>
    </w:p>
    <w:p>
      <w:pPr>
        <w:shd w:fill="2E5FA3" w:val="clear"/>
        <w:spacing w:after="100" w:before="200"/>
        <w:ind w:left="160"/>
      </w:pPr>
      <w:r>
        <w:rPr>
          <w:rFonts w:ascii="Arial" w:cs="Arial" w:eastAsia="Arial" w:hAnsi="Arial"/>
          <w:b/>
          <w:bCs/>
          <w:color w:val="FFFFFF"/>
          <w:sz w:val="24"/>
          <w:szCs w:val="24"/>
        </w:rPr>
        <w:t xml:space="preserve">6. CONCLUSIÓN DEL DISEÑO DEL SISTEMA DE GOBIERNO DE TI</w:t>
      </w:r>
    </w:p>
    <w:p>
      <w:pPr>
        <w:spacing w:after="60" w:before="60"/>
        <w:jc w:val="both"/>
      </w:pPr>
      <w:r>
        <w:rPr>
          <w:rFonts w:ascii="Arial" w:cs="Arial" w:eastAsia="Arial" w:hAnsi="Arial"/>
          <w:sz w:val="20"/>
          <w:szCs w:val="20"/>
        </w:rPr>
        <w:t xml:space="preserve">El diseño del Sistema de Gobierno de TI del BCRP bajo COBIT 2019 establece un marco integral que permite cerrar las brechas críticas identificadas en el diagnóstico, alinear los proyectos tecnológicos con la misión constitucional del Banco y posicionar a la GTI como socio estratégico de primer nivel institucional.</w:t>
      </w:r>
    </w:p>
    <w:p>
      <w:pPr>
        <w:spacing w:after="60" w:before="60"/>
      </w:pPr>
      <w:r>
        <w:t xml:space="preserve"/>
      </w:r>
    </w:p>
    <w:p>
      <w:pPr>
        <w:spacing w:after="60" w:before="60"/>
        <w:jc w:val="both"/>
      </w:pPr>
      <w:r>
        <w:rPr>
          <w:rFonts w:ascii="Arial" w:cs="Arial" w:eastAsia="Arial" w:hAnsi="Arial"/>
          <w:sz w:val="20"/>
          <w:szCs w:val="20"/>
        </w:rPr>
        <w:t xml:space="preserve">Los tres elementos centrales del diseño son: (1) el establecimiento del EGIT formal bajo COBIT 2019 con un Comité de Gobierno constituido y mecanismos de reporte al Directorio; (2) la activación de los procesos COBIT prioritarios en los dominios EDM, APO, BAI, DSS y MEA para cerrar cada brecha identificada; y (3) la ejecución del portafolio de 10 proyectos estratégicos del PETI 2022-2026 con gobernanza estructurada, KPIs formales y seguimiento institucional periódico.</w:t>
      </w:r>
    </w:p>
    <w:p>
      <w:pPr>
        <w:spacing w:after="60" w:before="60"/>
      </w:pPr>
      <w:r>
        <w:t xml:space="preserve"/>
      </w:r>
    </w:p>
    <w:p>
      <w:pPr>
        <w:spacing w:after="60" w:before="60"/>
        <w:jc w:val="both"/>
      </w:pPr>
      <w:r>
        <w:rPr>
          <w:rFonts w:ascii="Arial" w:cs="Arial" w:eastAsia="Arial" w:hAnsi="Arial"/>
          <w:sz w:val="20"/>
          <w:szCs w:val="20"/>
        </w:rPr>
        <w:t xml:space="preserve">La implementación de este sistema de gobierno permitirá al BCRP alcanzar el Nivel 3 de madurez COBIT en sus procesos críticos, garantizar la continuidad del sistema de pagos nacional, fortalecer la ciberseguridad institucional y contribuir al cumplimiento de la misión constitucional de preservar la estabilidad monetaria del Perú, posicionando al BCRP como un banco central autónomo, moderno y de primer nivel internacional, conforme a su Visión institucional.</w:t>
      </w:r>
    </w:p>
    <w:p>
      <w:pPr>
        <w:spacing w:after="60" w:before="60"/>
      </w:pPr>
      <w:r>
        <w:t xml:space="preserve"/>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jc w:val="center"/>
    </w:pPr>
    <w:r>
      <w:rPr>
        <w:rFonts w:ascii="Arial" w:cs="Arial" w:eastAsia="Arial" w:hAnsi="Arial"/>
        <w:color w:val="888888"/>
        <w:sz w:val="16"/>
        <w:szCs w:val="16"/>
      </w:rPr>
      <w:t xml:space="preserve">Banco Central de Reserva del Perú  –  Gerencia de Tecnologías de Información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jc w:val="right"/>
    </w:pPr>
    <w:r>
      <w:rPr>
        <w:rFonts w:ascii="Arial" w:cs="Arial" w:eastAsia="Arial" w:hAnsi="Arial"/>
        <w:color w:val="888888"/>
        <w:sz w:val="16"/>
        <w:szCs w:val="16"/>
      </w:rPr>
      <w:t xml:space="preserve">PROYECTO DE GOBIERNO DE TI  |  BCRP  |  COBIT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226329a18f7588f726a00f59f79d244a28019.png"/><Relationship Id="rId10" Type="http://schemas.openxmlformats.org/officeDocument/2006/relationships/image" Target="media/0b64b09bbec4ce82938125b12b14cd975f9ee7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2026-05-13T15:35:25.423Z</dcterms:created>
  <dcterms:modified xsi:type="dcterms:W3CDTF">2026-05-13T15:35:25.424Z</dcterms:modified>
</cp:coreProperties>
</file>

<file path=docProps/custom.xml><?xml version="1.0" encoding="utf-8"?>
<Properties xmlns="http://schemas.openxmlformats.org/officeDocument/2006/custom-properties" xmlns:vt="http://schemas.openxmlformats.org/officeDocument/2006/docPropsVTypes"/>
</file>