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jc w:val="center"/>
      </w:pPr>
      <w:r>
        <w:drawing>
          <wp:inline distT="0" distB="0" distL="0" distR="0">
            <wp:extent cx="1524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857250"/>
                    </a:xfrm>
                    <a:prstGeom prst="rect">
                      <a:avLst/>
                    </a:prstGeom>
                  </pic:spPr>
                </pic:pic>
              </a:graphicData>
            </a:graphic>
          </wp:inline>
        </w:drawing>
      </w:r>
    </w:p>
    <w:p>
      <w:pPr>
        <w:spacing w:before="300"/>
      </w:pPr>
    </w:p>
    <w:p>
      <w:pPr>
        <w:spacing w:after="120" w:before="120"/>
        <w:jc w:val="center"/>
      </w:pPr>
      <w:r>
        <w:rPr>
          <w:rFonts w:ascii="Arial" w:cs="Arial" w:eastAsia="Arial" w:hAnsi="Arial"/>
          <w:b/>
          <w:bCs/>
          <w:color w:val="1F3864"/>
          <w:sz w:val="28"/>
          <w:szCs w:val="28"/>
        </w:rPr>
        <w:t xml:space="preserve">UNIVERSIDAD PERUANA UNIÓN</w:t>
      </w:r>
    </w:p>
    <w:p>
      <w:pPr>
        <w:spacing w:after="120" w:before="120"/>
        <w:jc w:val="center"/>
      </w:pPr>
      <w:r>
        <w:rPr>
          <w:rFonts w:ascii="Arial" w:cs="Arial" w:eastAsia="Arial" w:hAnsi="Arial"/>
          <w:b/>
          <w:bCs/>
          <w:color w:val="555555"/>
          <w:sz w:val="22"/>
          <w:szCs w:val="22"/>
        </w:rPr>
        <w:t xml:space="preserve">FACULTAD DE INGENIERÍA Y ARQUITECTURA</w:t>
      </w:r>
    </w:p>
    <w:p>
      <w:pPr>
        <w:spacing w:after="120" w:before="120"/>
        <w:jc w:val="center"/>
      </w:pPr>
      <w:r>
        <w:rPr>
          <w:rFonts w:ascii="Arial" w:cs="Arial" w:eastAsia="Arial" w:hAnsi="Arial"/>
          <w:b/>
          <w:bCs/>
          <w:color w:val="555555"/>
          <w:sz w:val="20"/>
          <w:szCs w:val="20"/>
        </w:rPr>
        <w:t xml:space="preserve">ESCUELA PROFESIONAL DE INGENIERÍA DE SISTEMAS</w:t>
      </w:r>
    </w:p>
    <w:p>
      <w:pPr>
        <w:spacing w:before="500"/>
      </w:pPr>
    </w:p>
    <w:p>
      <w:pPr>
        <w:spacing w:after="120" w:before="120"/>
        <w:jc w:val="center"/>
      </w:pPr>
      <w:r>
        <w:rPr>
          <w:rFonts w:ascii="Arial" w:cs="Arial" w:eastAsia="Arial" w:hAnsi="Arial"/>
          <w:b/>
          <w:bCs/>
          <w:color w:val="C9A84C"/>
          <w:sz w:val="26"/>
          <w:szCs w:val="26"/>
        </w:rPr>
        <w:t xml:space="preserve">PROYECTO DE GOBIERNO DE TECNOLOGÍAS DE INFORMACIÓN</w:t>
      </w:r>
    </w:p>
    <w:p>
      <w:pPr>
        <w:spacing w:after="120" w:before="120"/>
        <w:jc w:val="center"/>
      </w:pPr>
      <w:r>
        <w:rPr>
          <w:rFonts w:ascii="Arial" w:cs="Arial" w:eastAsia="Arial" w:hAnsi="Arial"/>
          <w:b/>
          <w:bCs/>
          <w:color w:val="2E75B6"/>
          <w:sz w:val="24"/>
          <w:szCs w:val="24"/>
        </w:rPr>
        <w:t xml:space="preserve">BANCO CENTRAL DE RESERVA DEL PERÚ (BCRP)</w:t>
      </w:r>
    </w:p>
    <w:p>
      <w:pPr>
        <w:spacing w:before="100"/>
      </w:pPr>
    </w:p>
    <w:p>
      <w:pPr>
        <w:spacing w:after="120" w:before="120"/>
        <w:jc w:val="center"/>
      </w:pPr>
      <w:r>
        <w:rPr>
          <w:rFonts w:ascii="Arial" w:cs="Arial" w:eastAsia="Arial" w:hAnsi="Arial"/>
          <w:b/>
          <w:bCs/>
          <w:color w:val="333333"/>
          <w:sz w:val="22"/>
          <w:szCs w:val="22"/>
        </w:rPr>
        <w:t xml:space="preserve">Manual Explicativo del Diseño del Sistema de Gobierno de TI</w:t>
      </w:r>
    </w:p>
    <w:p>
      <w:pPr>
        <w:spacing w:after="120" w:before="120"/>
        <w:jc w:val="center"/>
      </w:pPr>
      <w:r>
        <w:rPr>
          <w:rFonts w:ascii="Arial" w:cs="Arial" w:eastAsia="Arial" w:hAnsi="Arial"/>
          <w:b/>
          <w:bCs/>
          <w:color w:val="555555"/>
          <w:sz w:val="20"/>
          <w:szCs w:val="20"/>
        </w:rPr>
        <w:t xml:space="preserve">Aplicación del Marco COBIT® 2019 — Kit de Diseño ISACA</w:t>
      </w:r>
    </w:p>
    <w:p>
      <w:pPr>
        <w:spacing w:before="500"/>
      </w:pPr>
    </w:p>
    <w:p>
      <w:pPr>
        <w:spacing w:before="100"/>
        <w:jc w:val="center"/>
      </w:pPr>
      <w:r>
        <w:rPr>
          <w:rFonts w:ascii="Arial" w:cs="Arial" w:eastAsia="Arial" w:hAnsi="Arial"/>
          <w:color w:val="333333"/>
          <w:sz w:val="22"/>
          <w:szCs w:val="22"/>
        </w:rPr>
        <w:t xml:space="preserve">Curso: Tecnologías de la Información</w:t>
      </w:r>
    </w:p>
    <w:p>
      <w:pPr>
        <w:spacing w:before="60"/>
        <w:jc w:val="center"/>
      </w:pPr>
      <w:r>
        <w:rPr>
          <w:rFonts w:ascii="Arial" w:cs="Arial" w:eastAsia="Arial" w:hAnsi="Arial"/>
          <w:b/>
          <w:bCs/>
          <w:color w:val="333333"/>
          <w:sz w:val="22"/>
          <w:szCs w:val="22"/>
        </w:rPr>
        <w:t xml:space="preserve">Docente: Ing. Rick Armando Ccapa Luque</w:t>
      </w:r>
    </w:p>
    <w:p>
      <w:pPr>
        <w:spacing w:before="300"/>
      </w:pPr>
    </w:p>
    <w:p>
      <w:pPr>
        <w:spacing w:before="60"/>
        <w:jc w:val="center"/>
      </w:pPr>
      <w:r>
        <w:rPr>
          <w:rFonts w:ascii="Arial" w:cs="Arial" w:eastAsia="Arial" w:hAnsi="Arial"/>
          <w:b/>
          <w:bCs/>
          <w:color w:val="333333"/>
          <w:sz w:val="22"/>
          <w:szCs w:val="22"/>
        </w:rPr>
        <w:t xml:space="preserve">Integrantes:</w:t>
      </w:r>
    </w:p>
    <w:p>
      <w:pPr>
        <w:spacing w:before="40"/>
        <w:jc w:val="center"/>
      </w:pPr>
      <w:r>
        <w:rPr>
          <w:rFonts w:ascii="Arial" w:cs="Arial" w:eastAsia="Arial" w:hAnsi="Arial"/>
          <w:color w:val="333333"/>
          <w:sz w:val="21"/>
          <w:szCs w:val="21"/>
        </w:rPr>
        <w:t xml:space="preserve">Cabana Sulca, Cristian</w:t>
      </w:r>
    </w:p>
    <w:p>
      <w:pPr>
        <w:spacing w:before="40"/>
        <w:jc w:val="center"/>
      </w:pPr>
      <w:r>
        <w:rPr>
          <w:rFonts w:ascii="Arial" w:cs="Arial" w:eastAsia="Arial" w:hAnsi="Arial"/>
          <w:color w:val="333333"/>
          <w:sz w:val="21"/>
          <w:szCs w:val="21"/>
        </w:rPr>
        <w:t xml:space="preserve">Pastor Mamani Mamani, Alessandro</w:t>
      </w:r>
    </w:p>
    <w:p>
      <w:pPr>
        <w:spacing w:before="40"/>
        <w:jc w:val="center"/>
      </w:pPr>
      <w:r>
        <w:rPr>
          <w:rFonts w:ascii="Arial" w:cs="Arial" w:eastAsia="Arial" w:hAnsi="Arial"/>
          <w:color w:val="333333"/>
          <w:sz w:val="21"/>
          <w:szCs w:val="21"/>
        </w:rPr>
        <w:t xml:space="preserve">Lino Montes Mamani, Andrés</w:t>
      </w:r>
    </w:p>
    <w:p>
      <w:pPr>
        <w:spacing w:before="40"/>
        <w:jc w:val="center"/>
      </w:pPr>
      <w:r>
        <w:rPr>
          <w:rFonts w:ascii="Arial" w:cs="Arial" w:eastAsia="Arial" w:hAnsi="Arial"/>
          <w:color w:val="333333"/>
          <w:sz w:val="21"/>
          <w:szCs w:val="21"/>
        </w:rPr>
        <w:t xml:space="preserve">Fernández Sánchez, Jerson Jean Piero</w:t>
      </w:r>
    </w:p>
    <w:p>
      <w:pPr>
        <w:spacing w:before="400"/>
      </w:pPr>
    </w:p>
    <w:p>
      <w:pPr>
        <w:spacing w:after="120" w:before="120"/>
        <w:jc w:val="center"/>
      </w:pPr>
      <w:r>
        <w:rPr>
          <w:rFonts w:ascii="Arial" w:cs="Arial" w:eastAsia="Arial" w:hAnsi="Arial"/>
          <w:b/>
          <w:bCs/>
          <w:color w:val="555555"/>
          <w:sz w:val="20"/>
          <w:szCs w:val="20"/>
        </w:rPr>
        <w:t xml:space="preserve">Lima, Perú — 2025</w:t>
      </w:r>
    </w:p>
    <w:p>
      <w:r>
        <w:br w:type="page"/>
      </w:r>
    </w:p>
    <w:p>
      <w:pPr>
        <w:shd w:fill="1F3864" w:val="clear"/>
        <w:spacing w:after="160" w:before="320"/>
      </w:pPr>
      <w:r>
        <w:rPr>
          <w:rFonts w:ascii="Arial" w:cs="Arial" w:eastAsia="Arial" w:hAnsi="Arial"/>
          <w:b/>
          <w:bCs/>
          <w:color w:val="FFFFFF"/>
          <w:sz w:val="28"/>
          <w:szCs w:val="28"/>
        </w:rPr>
        <w:t xml:space="preserve">1. INTRODUCCIÓN</w:t>
      </w:r>
    </w:p>
    <w:p>
      <w:pPr>
        <w:spacing w:after="60" w:before="60"/>
      </w:pPr>
      <w:r>
        <w:rPr>
          <w:rFonts w:ascii="Arial" w:cs="Arial" w:eastAsia="Arial" w:hAnsi="Arial"/>
          <w:b w:val="false"/>
          <w:bCs w:val="false"/>
          <w:i w:val="false"/>
          <w:iCs w:val="false"/>
          <w:color w:val="000000"/>
          <w:sz w:val="20"/>
          <w:szCs w:val="20"/>
        </w:rPr>
        <w:t xml:space="preserve">El presente manual documenta, paso a paso, el proceso seguido por el grupo de trabajo para diseñar el Sistema de Gobierno de Tecnologías de Información (TI) del Banco Central de Reserva del Perú (BCRP), aplicando el marco internacional COBIT® 2019 de ISACA. El propósito de este documento es explicar de manera ordenada y trazable de dónde proviene cada decisión, cada cifra y cada conclusión del proyecto, de forma que cualquier integrante del equipo pueda exponerlo con dominio total del razonamiento aplicado.</w:t>
      </w:r>
    </w:p>
    <w:p>
      <w:pPr>
        <w:spacing w:after="60" w:before="60"/>
      </w:pPr>
      <w:r>
        <w:rPr>
          <w:rFonts w:ascii="Arial" w:cs="Arial" w:eastAsia="Arial" w:hAnsi="Arial"/>
          <w:b w:val="false"/>
          <w:bCs w:val="false"/>
          <w:i w:val="false"/>
          <w:iCs w:val="false"/>
          <w:color w:val="000000"/>
          <w:sz w:val="20"/>
          <w:szCs w:val="20"/>
        </w:rPr>
        <w:t xml:space="preserve">El trabajo se desarrolló en cuatro grandes etapas, que corresponden a las cuatro fases iniciales de cualquier proyecto de Gobierno de TI bajo COBIT 2019: diagnóstico institucional, construcción del Modelo en Cascada, aplicación de los Factores de Diseño mediante el Kit de Diseño oficial de ISACA, y consolidación de resultados en un Cuadro Resumen.</w:t>
      </w:r>
    </w:p>
    <w:p>
      <w:pPr>
        <w:spacing w:before="100"/>
      </w:pPr>
    </w:p>
    <w:p>
      <w:pPr>
        <w:spacing w:after="120" w:before="240"/>
      </w:pPr>
      <w:r>
        <w:rPr>
          <w:rFonts w:ascii="Arial" w:cs="Arial" w:eastAsia="Arial" w:hAnsi="Arial"/>
          <w:b/>
          <w:bCs/>
          <w:color w:val="2E75B6"/>
          <w:sz w:val="24"/>
          <w:szCs w:val="24"/>
        </w:rPr>
        <w:t xml:space="preserve">1.1. Punto de partida del proyecto</w:t>
      </w:r>
    </w:p>
    <w:p>
      <w:pPr>
        <w:spacing w:after="60" w:before="60"/>
      </w:pPr>
      <w:r>
        <w:rPr>
          <w:rFonts w:ascii="Arial" w:cs="Arial" w:eastAsia="Arial" w:hAnsi="Arial"/>
          <w:b w:val="false"/>
          <w:bCs w:val="false"/>
          <w:i w:val="false"/>
          <w:iCs w:val="false"/>
          <w:color w:val="000000"/>
          <w:sz w:val="20"/>
          <w:szCs w:val="20"/>
        </w:rPr>
        <w:t xml:space="preserve">Antes de iniciar cualquier cálculo, el equipo recopiló y analizó dos documentos institucionales oficiales del BCRP, que constituyen la fuente primaria de toda la información utilizada en este proyecto:</w:t>
      </w:r>
    </w:p>
    <w:p>
      <w:pPr>
        <w:spacing w:after="60" w:before="60"/>
      </w:pPr>
      <w:r>
        <w:rPr>
          <w:rFonts w:ascii="Arial" w:cs="Arial" w:eastAsia="Arial" w:hAnsi="Arial"/>
          <w:b w:val="false"/>
          <w:bCs w:val="false"/>
          <w:i w:val="false"/>
          <w:iCs w:val="false"/>
          <w:color w:val="000000"/>
          <w:sz w:val="20"/>
          <w:szCs w:val="20"/>
        </w:rPr>
        <w:t xml:space="preserve">a) El Plan Estratégico del BCRP 2022-2026, documento público que establece la Misión, Visión, los 4 Ejes Estratégicos y los 14 Objetivos Estratégicos Institucionales (OE1 a OE14) del Banco, junto con sus indicadores de cumplimiento por gerencia responsable.</w:t>
      </w:r>
    </w:p>
    <w:p>
      <w:pPr>
        <w:spacing w:after="60" w:before="60"/>
      </w:pPr>
      <w:r>
        <w:rPr>
          <w:rFonts w:ascii="Arial" w:cs="Arial" w:eastAsia="Arial" w:hAnsi="Arial"/>
          <w:b w:val="false"/>
          <w:bCs w:val="false"/>
          <w:i w:val="false"/>
          <w:iCs w:val="false"/>
          <w:color w:val="000000"/>
          <w:sz w:val="20"/>
          <w:szCs w:val="20"/>
        </w:rPr>
        <w:t xml:space="preserve">b) El Plan Estratégico de Tecnologías de Información (PETI) del BCRP 2022-2026, documento técnico de la Gerencia de Tecnologías de Información (GTI) que detalla el diagnóstico AS-IS (situación actual), el TO-BE (situación deseada), el análisis FODA tecnológico y el cuadro de brechas de capacidades de TI del Banco.</w:t>
      </w:r>
    </w:p>
    <w:p>
      <w:pPr>
        <w:spacing w:after="60" w:before="60"/>
      </w:pPr>
      <w:r>
        <w:rPr>
          <w:rFonts w:ascii="Arial" w:cs="Arial" w:eastAsia="Arial" w:hAnsi="Arial"/>
          <w:b w:val="false"/>
          <w:bCs w:val="false"/>
          <w:i/>
          <w:iCs/>
          <w:color w:val="555555"/>
          <w:sz w:val="20"/>
          <w:szCs w:val="20"/>
        </w:rPr>
        <w:t xml:space="preserve">De estos dos documentos se extrajo toda la evidencia institucional real que sustenta cada valor numérico asignado en las matrices de este proyecto. Ninguna cifra fue asignada arbitrariamente: cada una responde a un hecho documentado (por ejemplo, la ausencia de un tercer centro de datos, la falta de un Comité de Gobierno de TI formal, o la necesidad de modernizar el Sistema de Liquidación Bruta en Tiempo Real – LBTR).</w:t>
      </w:r>
    </w:p>
    <w:p>
      <w:pPr>
        <w:spacing w:before="100"/>
      </w:pPr>
    </w:p>
    <w:p>
      <w:pPr>
        <w:spacing w:after="120" w:before="240"/>
      </w:pPr>
      <w:r>
        <w:rPr>
          <w:rFonts w:ascii="Arial" w:cs="Arial" w:eastAsia="Arial" w:hAnsi="Arial"/>
          <w:b/>
          <w:bCs/>
          <w:color w:val="2E75B6"/>
          <w:sz w:val="24"/>
          <w:szCs w:val="24"/>
        </w:rPr>
        <w:t xml:space="preserve">1.2. Estructura general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3060"/>
        <w:gridCol w:w="2500"/>
      </w:tblGrid>
      <w:tr>
        <w:trPr>
          <w:tblHeader/>
        </w:trPr>
        <w:tc>
          <w:tcPr>
            <w:tcW w:type="dxa" w:w="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Etapa</w:t>
            </w:r>
          </w:p>
        </w:tc>
        <w:tc>
          <w:tcPr>
            <w:tcW w:type="dxa" w:w="2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Nombre</w:t>
            </w:r>
          </w:p>
        </w:tc>
        <w:tc>
          <w:tcPr>
            <w:tcW w:type="dxa" w:w="30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Herramienta utilizada</w:t>
            </w:r>
          </w:p>
        </w:tc>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Resultado obtenido</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w:t>
            </w:r>
          </w:p>
        </w:tc>
        <w:tc>
          <w:tcPr>
            <w:tcW w:type="dxa" w:w="2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Caracterización institucional</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Análisis documental del PETI y Plan Estratégico</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Ficha de identificación del BCRP y de la GTI</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w:t>
            </w:r>
          </w:p>
        </w:tc>
        <w:tc>
          <w:tcPr>
            <w:tcW w:type="dxa" w:w="2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Modelo en Cascada (3 niveles)</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Matrices de relación 0-1-2 (Excel propio del equipo)</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6 procesos COBIT priorizados para el BCRP</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w:t>
            </w:r>
          </w:p>
        </w:tc>
        <w:tc>
          <w:tcPr>
            <w:tcW w:type="dxa" w:w="2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Aplicación de los 10 Factores de Diseño</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Kit de Diseño del Sistema de Gobierno COBIT 2019 (ISACA)</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Nivel de capacidad sugerido para los 40 procesos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4</w:t>
            </w:r>
          </w:p>
        </w:tc>
        <w:tc>
          <w:tcPr>
            <w:tcW w:type="dxa" w:w="2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Cuadro Resumen y Conclusiones</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Consolidación manual de resultados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Nivel de capacidad acordado y plan de cierre de brechas</w:t>
            </w:r>
          </w:p>
        </w:tc>
      </w:tr>
    </w:tbl>
    <w:p>
      <w:pPr>
        <w:spacing w:before="100"/>
      </w:pPr>
    </w:p>
    <w:p>
      <w:pPr>
        <w:spacing w:after="120" w:before="240"/>
      </w:pPr>
      <w:r>
        <w:rPr>
          <w:rFonts w:ascii="Arial" w:cs="Arial" w:eastAsia="Arial" w:hAnsi="Arial"/>
          <w:b/>
          <w:bCs/>
          <w:color w:val="2E75B6"/>
          <w:sz w:val="24"/>
          <w:szCs w:val="24"/>
        </w:rPr>
        <w:t xml:space="preserve">1.3. Marco de referencia</w:t>
      </w:r>
    </w:p>
    <w:p>
      <w:pPr>
        <w:spacing w:after="60" w:before="60"/>
      </w:pPr>
      <w:r>
        <w:rPr>
          <w:rFonts w:ascii="Arial" w:cs="Arial" w:eastAsia="Arial" w:hAnsi="Arial"/>
          <w:b w:val="false"/>
          <w:bCs w:val="false"/>
          <w:i w:val="false"/>
          <w:iCs w:val="false"/>
          <w:color w:val="000000"/>
          <w:sz w:val="20"/>
          <w:szCs w:val="20"/>
        </w:rPr>
        <w:t xml:space="preserve">Todo el desarrollo siguió como guía principal el libro oficial COBIT® 2019: Marco de Referencia, Gobernanza y Objetivos de Gestión, publicado por ISACA, así como el Kit de Herramientas de Diseño del Sistema de Gobierno COBIT® 2019 (archivo 615983147.xlsx), instrumento oficial de ISACA que automatiza el cálculo de la importancia relativa de los 40 objetivos de gobierno y gestión a partir de 10 factores de entrada.</w:t>
      </w:r>
    </w:p>
    <w:p>
      <w:pPr>
        <w:pBdr>
          <w:bottom w:val="single" w:color="2E75B6" w:sz="6"/>
        </w:pBdr>
        <w:spacing w:after="120" w:before="120"/>
      </w:pPr>
      <w:r>
        <w:t xml:space="preserve"/>
      </w:r>
    </w:p>
    <w:p>
      <w:pPr>
        <w:shd w:fill="1F3864" w:val="clear"/>
        <w:spacing w:after="160" w:before="320"/>
      </w:pPr>
      <w:r>
        <w:rPr>
          <w:rFonts w:ascii="Arial" w:cs="Arial" w:eastAsia="Arial" w:hAnsi="Arial"/>
          <w:b/>
          <w:bCs/>
          <w:color w:val="FFFFFF"/>
          <w:sz w:val="28"/>
          <w:szCs w:val="28"/>
        </w:rPr>
        <w:t xml:space="preserve">2. EL MODELO EN CASCADA: CÓMO SE PRIORIZARON LOS OBJETIVOS</w:t>
      </w:r>
    </w:p>
    <w:p>
      <w:pPr>
        <w:spacing w:after="60" w:before="60"/>
      </w:pPr>
      <w:r>
        <w:rPr>
          <w:rFonts w:ascii="Arial" w:cs="Arial" w:eastAsia="Arial" w:hAnsi="Arial"/>
          <w:b w:val="false"/>
          <w:bCs w:val="false"/>
          <w:i w:val="false"/>
          <w:iCs w:val="false"/>
          <w:color w:val="000000"/>
          <w:sz w:val="20"/>
          <w:szCs w:val="20"/>
        </w:rPr>
        <w:t xml:space="preserve">El Modelo en Cascada es el mecanismo que utiliza COBIT 2019 para conectar lo que la institución necesita (sus objetivos estratégicos) con lo que el área de Tecnologías de Información debe hacer (sus procesos de gobierno y gestión). El modelo tiene tres niveles consecutivos, y cada nivel se desarrolló en una hoja independiente del archivo de trabajo del equipo, denominado internamente “BCRP_Fase4_Cascada_COBIT2019.xlsx”.</w:t>
      </w:r>
    </w:p>
    <w:p>
      <w:pPr>
        <w:spacing w:before="100"/>
      </w:pPr>
    </w:p>
    <w:p>
      <w:pPr>
        <w:spacing w:after="120" w:before="240"/>
      </w:pPr>
      <w:r>
        <w:rPr>
          <w:rFonts w:ascii="Arial" w:cs="Arial" w:eastAsia="Arial" w:hAnsi="Arial"/>
          <w:b/>
          <w:bCs/>
          <w:color w:val="2E75B6"/>
          <w:sz w:val="24"/>
          <w:szCs w:val="24"/>
        </w:rPr>
        <w:t xml:space="preserve">2.1. Primer paso: selección de los 5 objetivos institucionales base</w:t>
      </w:r>
    </w:p>
    <w:p>
      <w:pPr>
        <w:spacing w:after="60" w:before="60"/>
      </w:pPr>
      <w:r>
        <w:rPr>
          <w:rFonts w:ascii="Arial" w:cs="Arial" w:eastAsia="Arial" w:hAnsi="Arial"/>
          <w:b w:val="false"/>
          <w:bCs w:val="false"/>
          <w:i w:val="false"/>
          <w:iCs w:val="false"/>
          <w:color w:val="000000"/>
          <w:sz w:val="20"/>
          <w:szCs w:val="20"/>
        </w:rPr>
        <w:t xml:space="preserve">Antes de construir cualquier matriz, el equipo revisó los 14 Objetivos Estratégicos del Plan Estratégico del BCRP 2022-2026 y seleccionó los 5 que tienen relación directa y evidente con la función de Tecnologías de Información, descartando aquellos que son puramente económicos o de política monetaria sin componente tecnológico relevante (como OE3, sobre reformas para el crecimiento sostenido, o OE6, sobre la calidad del dinero en circulación).</w:t>
      </w:r>
    </w:p>
    <w:p>
      <w:pPr>
        <w:spacing w:after="60" w:before="60"/>
      </w:pPr>
      <w:r>
        <w:rPr>
          <w:rFonts w:ascii="Arial" w:cs="Arial" w:eastAsia="Arial" w:hAnsi="Arial"/>
          <w:b/>
          <w:bCs/>
          <w:i w:val="false"/>
          <w:iCs w:val="false"/>
          <w:color w:val="000000"/>
          <w:sz w:val="20"/>
          <w:szCs w:val="20"/>
        </w:rPr>
        <w:t xml:space="preserve">Los 5 objetivos seleccionados, y su correspondencia textual en el Plan Estratégico, fueron: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rPr>
          <w:tblHeader/>
        </w:trPr>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Código</w:t>
            </w:r>
          </w:p>
        </w:tc>
        <w:tc>
          <w:tcPr>
            <w:tcW w:type="dxa" w:w="6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Objetivo Estratégico (texto literal del Plan Estratégico BCRP)</w:t>
            </w:r>
          </w:p>
        </w:tc>
        <w:tc>
          <w:tcPr>
            <w:tcW w:type="dxa" w:w="2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Eje al que pertenece</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OE4</w:t>
            </w:r>
          </w:p>
        </w:tc>
        <w:tc>
          <w:tcPr>
            <w:tcW w:type="dxa" w:w="6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Promover la estabilidad financiera y sistemas de pagos eficientes y competitivos</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 Estabilidad Monetaria y Financiera</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OE10</w:t>
            </w:r>
          </w:p>
        </w:tc>
        <w:tc>
          <w:tcPr>
            <w:tcW w:type="dxa" w:w="6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Contar con desarrollos informáticos y servicios de tecnologías que impulsen la innovación en los procesos de negocio y soporte</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IV. Procesos, Infraestructura e Información</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OE14</w:t>
            </w:r>
          </w:p>
        </w:tc>
        <w:tc>
          <w:tcPr>
            <w:tcW w:type="dxa" w:w="6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Desplegar la gestión de riesgos a todos los procesos del Banco</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IV. Procesos, Infraestructura e Información</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OE1 / OE5</w:t>
            </w:r>
          </w:p>
        </w:tc>
        <w:tc>
          <w:tcPr>
            <w:tcW w:type="dxa" w:w="6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Mantener la inflación en el rango meta / Mantener una gestión eficiente de las reservas internacionales</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 Estabilidad Monetaria y Financiera</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OE9</w:t>
            </w:r>
          </w:p>
        </w:tc>
        <w:tc>
          <w:tcPr>
            <w:tcW w:type="dxa" w:w="6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Crear condiciones para atraer y retener talento profesional</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III. Talento Humano</w:t>
            </w:r>
          </w:p>
        </w:tc>
      </w:tr>
    </w:tbl>
    <w:p>
      <w:pPr>
        <w:spacing w:after="60" w:before="60"/>
      </w:pPr>
      <w:r>
        <w:rPr>
          <w:rFonts w:ascii="Arial" w:cs="Arial" w:eastAsia="Arial" w:hAnsi="Arial"/>
          <w:b w:val="false"/>
          <w:bCs w:val="false"/>
          <w:i/>
          <w:iCs/>
          <w:color w:val="555555"/>
          <w:sz w:val="20"/>
          <w:szCs w:val="20"/>
        </w:rPr>
        <w:t xml:space="preserve">Estos 5 objetivos se ubicaron en la columna B de la hoja “1ra Cascada - Metas Corporativas” del archivo de trabajo, identificados como OBJ 01 a OBJ 05.</w:t>
      </w:r>
    </w:p>
    <w:p>
      <w:pPr>
        <w:spacing w:before="120"/>
      </w:pPr>
    </w:p>
    <w:p>
      <w:pPr>
        <w:spacing w:after="120" w:before="240"/>
      </w:pPr>
      <w:r>
        <w:rPr>
          <w:rFonts w:ascii="Arial" w:cs="Arial" w:eastAsia="Arial" w:hAnsi="Arial"/>
          <w:b/>
          <w:bCs/>
          <w:color w:val="2E75B6"/>
          <w:sz w:val="24"/>
          <w:szCs w:val="24"/>
        </w:rPr>
        <w:t xml:space="preserve">2.2. Primera Cascada: de los Objetivos Institucionales a las Metas Corporativas COBIT</w:t>
      </w:r>
    </w:p>
    <w:p>
      <w:pPr>
        <w:spacing w:after="60" w:before="60"/>
      </w:pPr>
      <w:r>
        <w:rPr>
          <w:rFonts w:ascii="Arial" w:cs="Arial" w:eastAsia="Arial" w:hAnsi="Arial"/>
          <w:b w:val="false"/>
          <w:bCs w:val="false"/>
          <w:i w:val="false"/>
          <w:iCs w:val="false"/>
          <w:color w:val="000000"/>
          <w:sz w:val="20"/>
          <w:szCs w:val="20"/>
        </w:rPr>
        <w:t xml:space="preserve">COBIT 2019 propone 13 Metas Corporativas estándar (codificadas EG01 a EG13), agrupadas en las cuatro dimensiones del Cuadro de Mando Integral: Financiera, Cliente, Interna, y Aprendizaje y Crecimiento. El equipo construyó una matriz de relación de 5 filas (los objetivos del BCRP) por 13 columnas (las metas corporativas), asignando a cada celda un valor de la siguiente escala: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Valor</w:t>
            </w:r>
          </w:p>
        </w:tc>
        <w:tc>
          <w:tcPr>
            <w:tcW w:type="dxa" w:w="7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Significado</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w:t>
            </w:r>
          </w:p>
        </w:tc>
        <w:tc>
          <w:tcPr>
            <w:tcW w:type="dxa" w:w="7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Sin relación entre el objetivo del BCRP y la meta corporativa</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w:t>
            </w:r>
          </w:p>
        </w:tc>
        <w:tc>
          <w:tcPr>
            <w:tcW w:type="dxa" w:w="7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Relación secundaria o indirecta</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w:t>
            </w:r>
          </w:p>
        </w:tc>
        <w:tc>
          <w:tcPr>
            <w:tcW w:type="dxa" w:w="7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Relación primaria o directa</w:t>
            </w:r>
          </w:p>
        </w:tc>
      </w:tr>
    </w:tbl>
    <w:p>
      <w:pPr>
        <w:spacing w:after="60" w:before="60"/>
      </w:pPr>
      <w:r>
        <w:rPr>
          <w:rFonts w:ascii="Arial" w:cs="Arial" w:eastAsia="Arial" w:hAnsi="Arial"/>
          <w:b w:val="false"/>
          <w:bCs w:val="false"/>
          <w:i w:val="false"/>
          <w:iCs w:val="false"/>
          <w:color w:val="000000"/>
          <w:sz w:val="20"/>
          <w:szCs w:val="20"/>
        </w:rPr>
        <w:t xml:space="preserve">Cada celda de la matriz se discutió en equipo, preguntando: ¿este objetivo del BCRP contribuye directamente, indirectamente, o no contribuye, al logro de esta meta corporativa? Por ejemplo, para el objetivo OE4 (estabilidad financiera y sistemas de pagos) frente a la meta EG06 (Continuidad y disponibilidad del servicio del negocio), se asignó el valor máximo de 2, porque el Sistema de Liquidación Bruta en Tiempo Real (LBTR) que sostiene los pagos interbancarios del país debe operar las 24 horas del día sin interrupciones, según se establece en el PETI.</w:t>
      </w:r>
    </w:p>
    <w:p>
      <w:pPr>
        <w:spacing w:before="100"/>
      </w:pPr>
    </w:p>
    <w:p>
      <w:pPr>
        <w:spacing w:after="90" w:before="180"/>
      </w:pPr>
      <w:r>
        <w:rPr>
          <w:rFonts w:ascii="Arial" w:cs="Arial" w:eastAsia="Arial" w:hAnsi="Arial"/>
          <w:b/>
          <w:bCs/>
          <w:color w:val="333333"/>
          <w:sz w:val="21"/>
          <w:szCs w:val="21"/>
        </w:rPr>
        <w:t xml:space="preserve">Resultado: puntuación total por meta corporativa (suma de las 5 filas)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rPr>
          <w:tblHeader/>
        </w:trPr>
        <w:tc>
          <w:tcPr>
            <w:tcW w:type="dxa" w:w="5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Meta Corporativa COBIT</w:t>
            </w:r>
          </w:p>
        </w:tc>
        <w:tc>
          <w:tcPr>
            <w:tcW w:type="dxa" w:w="23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Suma (0 a 10 posible)</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Prioridad asignada</w:t>
            </w:r>
          </w:p>
        </w:tc>
      </w:tr>
      <w:tr>
        <w:tc>
          <w:tcPr>
            <w:tcW w:type="dxa" w:w="5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EG08 — Optimización de procesos internos del negocio</w:t>
            </w:r>
          </w:p>
        </w:tc>
        <w:tc>
          <w:tcPr>
            <w:tcW w:type="dxa" w:w="2360"/>
            <w:tcBorders>
              <w:top w:val="single" w:color="AAAAAA" w:sz="4"/>
              <w:left w:val="single" w:color="AAAAAA" w:sz="4"/>
              <w:bottom w:val="single" w:color="AAAAAA" w:sz="4"/>
              <w:right w:val="single" w:color="AAAAAA" w:sz="4"/>
            </w:tcBorders>
            <w:shd w:fill="70AD4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8</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ALTA</w:t>
            </w:r>
          </w:p>
        </w:tc>
      </w:tr>
      <w:tr>
        <w:tc>
          <w:tcPr>
            <w:tcW w:type="dxa" w:w="5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EG06 — Continuidad y disponibilidad del servicio del negocio</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7</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ALTA</w:t>
            </w:r>
          </w:p>
        </w:tc>
      </w:tr>
      <w:tr>
        <w:tc>
          <w:tcPr>
            <w:tcW w:type="dxa" w:w="5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EG12 — Programas de transformación digital gestionados</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7</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ALTA</w:t>
            </w:r>
          </w:p>
        </w:tc>
      </w:tr>
      <w:tr>
        <w:tc>
          <w:tcPr>
            <w:tcW w:type="dxa" w:w="5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EG02 — Riesgos de negocio gestionado</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ALTA</w:t>
            </w:r>
          </w:p>
        </w:tc>
      </w:tr>
      <w:tr>
        <w:tc>
          <w:tcPr>
            <w:tcW w:type="dxa" w:w="5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EG07 — Calidad de la información gerencial</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ALTA</w:t>
            </w:r>
          </w:p>
        </w:tc>
      </w:tr>
      <w:tr>
        <w:tc>
          <w:tcPr>
            <w:tcW w:type="dxa" w:w="5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EG11 — Cumplimiento con políticas internas</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ALTA</w:t>
            </w:r>
          </w:p>
        </w:tc>
      </w:tr>
      <w:tr>
        <w:tc>
          <w:tcPr>
            <w:tcW w:type="dxa" w:w="5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EG03 — Cumplimiento con leyes externas y regulaciones</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MEDIA</w:t>
            </w:r>
          </w:p>
        </w:tc>
      </w:tr>
      <w:tr>
        <w:tc>
          <w:tcPr>
            <w:tcW w:type="dxa" w:w="5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EG01, EG04, EG05, EG09, EG10, EG13</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 a 5</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MEDIA / BAJA</w:t>
            </w:r>
          </w:p>
        </w:tc>
      </w:tr>
    </w:tbl>
    <w:p>
      <w:pPr>
        <w:spacing w:after="60" w:before="60"/>
      </w:pPr>
      <w:r>
        <w:rPr>
          <w:rFonts w:ascii="Arial" w:cs="Arial" w:eastAsia="Arial" w:hAnsi="Arial"/>
          <w:b w:val="false"/>
          <w:bCs w:val="false"/>
          <w:i/>
          <w:iCs/>
          <w:color w:val="555555"/>
          <w:sz w:val="20"/>
          <w:szCs w:val="20"/>
        </w:rPr>
        <w:t xml:space="preserve">Regla de corte utilizada por el equipo: se consideró “Prioridad Alta” a toda meta corporativa con puntuación igual o mayor a 6 (sobre un máximo posible de 10). Con este criterio se obtuvieron 7 metas corporativas priorizadas, que pasaron al segundo nivel de la cascada.</w:t>
      </w:r>
    </w:p>
    <w:p>
      <w:pPr>
        <w:spacing w:after="90" w:before="180"/>
      </w:pPr>
      <w:r>
        <w:rPr>
          <w:rFonts w:ascii="Arial" w:cs="Arial" w:eastAsia="Arial" w:hAnsi="Arial"/>
          <w:b/>
          <w:bCs/>
          <w:color w:val="333333"/>
          <w:sz w:val="21"/>
          <w:szCs w:val="21"/>
        </w:rPr>
        <w:t xml:space="preserve">Estas 7 metas priorizadas fueron, en orden:</w:t>
      </w:r>
    </w:p>
    <w:p>
      <w:pPr>
        <w:spacing w:after="60" w:before="60"/>
      </w:pPr>
      <w:r>
        <w:rPr>
          <w:rFonts w:ascii="Arial" w:cs="Arial" w:eastAsia="Arial" w:hAnsi="Arial"/>
          <w:b/>
          <w:bCs/>
          <w:i w:val="false"/>
          <w:iCs w:val="false"/>
          <w:color w:val="000000"/>
          <w:sz w:val="20"/>
          <w:szCs w:val="20"/>
        </w:rPr>
        <w:t xml:space="preserve">EG06 (9 puntos en la matriz de detalle, ver nota), EG08 (9), EG11 (8), EG12 (8), EG07 (7), EG02 (7) y EG03 (6).</w:t>
      </w:r>
    </w:p>
    <w:p>
      <w:pPr>
        <w:spacing w:after="60" w:before="60"/>
      </w:pPr>
      <w:r>
        <w:rPr>
          <w:rFonts w:ascii="Arial" w:cs="Arial" w:eastAsia="Arial" w:hAnsi="Arial"/>
          <w:b w:val="false"/>
          <w:bCs w:val="false"/>
          <w:i/>
          <w:iCs/>
          <w:color w:val="777777"/>
          <w:sz w:val="18"/>
          <w:szCs w:val="18"/>
        </w:rPr>
        <w:t xml:space="preserve">Nota aclaratoria: los valores de 9, 9, 8, 8, 7, 7 y 6 mostrados en la tabla resumen del archivo de trabajo (hoja “1ra Cascada”, fila “METAS CORPORATIVAS PRIORIZADAS”) corresponden a la columna PUNTAJE de la tabla de resultados finales, que es la misma suma horizontal pero presentada en la sección de conclusiones del Excel, ordenada de mayor a menor.</w:t>
      </w:r>
    </w:p>
    <w:p>
      <w:pPr>
        <w:spacing w:before="150"/>
      </w:pPr>
    </w:p>
    <w:p>
      <w:pPr>
        <w:spacing w:after="120" w:before="240"/>
      </w:pPr>
      <w:r>
        <w:rPr>
          <w:rFonts w:ascii="Arial" w:cs="Arial" w:eastAsia="Arial" w:hAnsi="Arial"/>
          <w:b/>
          <w:bCs/>
          <w:color w:val="2E75B6"/>
          <w:sz w:val="24"/>
          <w:szCs w:val="24"/>
        </w:rPr>
        <w:t xml:space="preserve">2.3. Segunda Cascada: de las Metas Corporativas a las Metas de Alineación de TI</w:t>
      </w:r>
    </w:p>
    <w:p>
      <w:pPr>
        <w:spacing w:after="60" w:before="60"/>
      </w:pPr>
      <w:r>
        <w:rPr>
          <w:rFonts w:ascii="Arial" w:cs="Arial" w:eastAsia="Arial" w:hAnsi="Arial"/>
          <w:b w:val="false"/>
          <w:bCs w:val="false"/>
          <w:i w:val="false"/>
          <w:iCs w:val="false"/>
          <w:color w:val="000000"/>
          <w:sz w:val="20"/>
          <w:szCs w:val="20"/>
        </w:rPr>
        <w:t xml:space="preserve">El mismo procedimiento se repitió un nivel más abajo. COBIT 2019 propone 13 Metas de Alineación de TI (codificadas AG01 a AG13), que son la traducción tecnológica de las metas corporativas. El equipo tomó las 7 metas corporativas priorizadas en el paso anterior (EG06, EG08, EG11, EG12, EG07, EG02, EG03) y las cruzó contra las 13 metas de TI, repitiendo la escala 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2360"/>
        <w:gridCol w:w="1500"/>
      </w:tblGrid>
      <w:tr>
        <w:trPr>
          <w:tblHeader/>
        </w:trPr>
        <w:tc>
          <w:tcPr>
            <w:tcW w:type="dxa" w:w="5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Meta de Alineación de TI</w:t>
            </w:r>
          </w:p>
        </w:tc>
        <w:tc>
          <w:tcPr>
            <w:tcW w:type="dxa" w:w="23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Suma (0 a 14 posible)</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Prioridad</w:t>
            </w:r>
          </w:p>
        </w:tc>
      </w:tr>
      <w:tr>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AG07 — Seguridad de la información, infraestructura y privacidad</w:t>
            </w:r>
          </w:p>
        </w:tc>
        <w:tc>
          <w:tcPr>
            <w:tcW w:type="dxa" w:w="2360"/>
            <w:tcBorders>
              <w:top w:val="single" w:color="AAAAAA" w:sz="4"/>
              <w:left w:val="single" w:color="AAAAAA" w:sz="4"/>
              <w:bottom w:val="single" w:color="AAAAAA" w:sz="4"/>
              <w:right w:val="single" w:color="AAAAAA" w:sz="4"/>
            </w:tcBorders>
            <w:shd w:fill="70AD4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11</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ALTA</w:t>
            </w:r>
          </w:p>
        </w:tc>
      </w:tr>
      <w:tr>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AG08 — Habilitar procesos mediante integración de aplicaciones</w:t>
            </w:r>
          </w:p>
        </w:tc>
        <w:tc>
          <w:tcPr>
            <w:tcW w:type="dxa" w:w="2360"/>
            <w:tcBorders>
              <w:top w:val="single" w:color="AAAAAA" w:sz="4"/>
              <w:left w:val="single" w:color="AAAAAA" w:sz="4"/>
              <w:bottom w:val="single" w:color="AAAAAA" w:sz="4"/>
              <w:right w:val="single" w:color="AAAAAA" w:sz="4"/>
            </w:tcBorders>
            <w:shd w:fill="70AD4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11</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ALTA</w:t>
            </w:r>
          </w:p>
        </w:tc>
      </w:tr>
      <w:tr>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AG05 — Entrega de servicios TI alineados al negocio</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ALTA</w:t>
            </w:r>
          </w:p>
        </w:tc>
      </w:tr>
      <w:tr>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AG06 — Agilidad para convertir requerimientos en soluciones</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ALTA</w:t>
            </w:r>
          </w:p>
        </w:tc>
      </w:tr>
      <w:tr>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AG09 — Entrega de programas en tiempo, presupuesto y calidad</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ALTA</w:t>
            </w:r>
          </w:p>
        </w:tc>
      </w:tr>
      <w:tr>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AG11 — Cumplimiento de TI con políticas internas</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ALTA</w:t>
            </w:r>
          </w:p>
        </w:tc>
      </w:tr>
      <w:tr>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AG02 — Riesgos relacionados con TI gestionados</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ALTA</w:t>
            </w:r>
          </w:p>
        </w:tc>
      </w:tr>
      <w:tr>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AG12 — Personal competente y motivado</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MEDIA</w:t>
            </w:r>
          </w:p>
        </w:tc>
      </w:tr>
    </w:tbl>
    <w:p>
      <w:pPr>
        <w:spacing w:after="60" w:before="60"/>
      </w:pPr>
      <w:r>
        <w:rPr>
          <w:rFonts w:ascii="Arial" w:cs="Arial" w:eastAsia="Arial" w:hAnsi="Arial"/>
          <w:b w:val="false"/>
          <w:bCs w:val="false"/>
          <w:i w:val="false"/>
          <w:iCs w:val="false"/>
          <w:color w:val="000000"/>
          <w:sz w:val="20"/>
          <w:szCs w:val="20"/>
        </w:rPr>
        <w:t xml:space="preserve">Se obtuvieron 8 metas de TI priorizadas, encabezadas por AG07 (Seguridad de la información) y AG08 (Integración de aplicaciones y procesos), ambas con 11 puntos sobre un máximo posible de 14. Esto es coherente porque las 7 metas corporativas que llegaron a este nivel ya estaban orientadas a continuidad, riesgo y cumplimiento, que dependen directamente de la seguridad y la integración tecnológica del Banco.</w:t>
      </w:r>
    </w:p>
    <w:p>
      <w:pPr>
        <w:spacing w:before="150"/>
      </w:pPr>
    </w:p>
    <w:p>
      <w:pPr>
        <w:spacing w:after="120" w:before="240"/>
      </w:pPr>
      <w:r>
        <w:rPr>
          <w:rFonts w:ascii="Arial" w:cs="Arial" w:eastAsia="Arial" w:hAnsi="Arial"/>
          <w:b/>
          <w:bCs/>
          <w:color w:val="2E75B6"/>
          <w:sz w:val="24"/>
          <w:szCs w:val="24"/>
        </w:rPr>
        <w:t xml:space="preserve">2.4. Tercera Cascada: de las Metas de Alineación de TI a los 40 Procesos COBIT</w:t>
      </w:r>
    </w:p>
    <w:p>
      <w:pPr>
        <w:spacing w:after="60" w:before="60"/>
      </w:pPr>
      <w:r>
        <w:rPr>
          <w:rFonts w:ascii="Arial" w:cs="Arial" w:eastAsia="Arial" w:hAnsi="Arial"/>
          <w:b w:val="false"/>
          <w:bCs w:val="false"/>
          <w:i w:val="false"/>
          <w:iCs w:val="false"/>
          <w:color w:val="000000"/>
          <w:sz w:val="20"/>
          <w:szCs w:val="20"/>
        </w:rPr>
        <w:t xml:space="preserve">En el tercer y último nivel, el equipo cruzó las 8 metas de TI priorizadas contra los 40 procesos de gobierno y gestión que define COBIT 2019, organizados en 5 dominios: EDM (Evaluar, Dirigir y Monitorear — gobierno), y APO, BAI, DSS, MEA (gestión). Esta es la matriz más grande del proyecto: 40 filas por 8 columnas.</w:t>
      </w:r>
    </w:p>
    <w:p>
      <w:pPr>
        <w:spacing w:after="60" w:before="60"/>
      </w:pPr>
      <w:r>
        <w:rPr>
          <w:rFonts w:ascii="Arial" w:cs="Arial" w:eastAsia="Arial" w:hAnsi="Arial"/>
          <w:b w:val="false"/>
          <w:bCs w:val="false"/>
          <w:i w:val="false"/>
          <w:iCs w:val="false"/>
          <w:color w:val="000000"/>
          <w:sz w:val="20"/>
          <w:szCs w:val="20"/>
        </w:rPr>
        <w:t xml:space="preserve">Para cada uno de los 40 procesos, el equipo revisó su definición oficial en el libro de COBIT 2019 y determinó si contribuía de forma nula, secundaria o primaria a cada una de las 8 metas de TI priorizadas. El resultado, ordenado de mayor a menor puntaje, definió los 10 procesos más relevantes para el BCRP: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60"/>
        <w:gridCol w:w="900"/>
        <w:gridCol w:w="1900"/>
        <w:gridCol w:w="2200"/>
      </w:tblGrid>
      <w:tr>
        <w:trPr>
          <w:tblHeader/>
        </w:trPr>
        <w:tc>
          <w:tcPr>
            <w:tcW w:type="dxa" w:w="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w:t>
            </w:r>
          </w:p>
        </w:tc>
        <w:tc>
          <w:tcPr>
            <w:tcW w:type="dxa" w:w="3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Proceso COBIT</w:t>
            </w:r>
          </w:p>
        </w:tc>
        <w:tc>
          <w:tcPr>
            <w:tcW w:type="dxa" w:w="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Dominio</w:t>
            </w:r>
          </w:p>
        </w:tc>
        <w:tc>
          <w:tcPr>
            <w:tcW w:type="dxa" w:w="1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Puntaje (máx. 16)</w:t>
            </w:r>
          </w:p>
        </w:tc>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Nivel madurez actual</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DSS05 — Gestionar servicios de seguridad</w:t>
            </w:r>
          </w:p>
        </w:tc>
        <w:tc>
          <w:tcPr>
            <w:tcW w:type="dxa" w:w="900"/>
            <w:tcBorders>
              <w:top w:val="single" w:color="AAAAAA" w:sz="4"/>
              <w:left w:val="single" w:color="AAAAAA" w:sz="4"/>
              <w:bottom w:val="single" w:color="AAAAAA" w:sz="4"/>
              <w:right w:val="single" w:color="AAAAAA" w:sz="4"/>
            </w:tcBorders>
            <w:shd w:fill="C9A84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DSS</w:t>
            </w:r>
          </w:p>
        </w:tc>
        <w:tc>
          <w:tcPr>
            <w:tcW w:type="dxa" w:w="1900"/>
            <w:tcBorders>
              <w:top w:val="single" w:color="AAAAAA" w:sz="4"/>
              <w:left w:val="single" w:color="AAAAAA" w:sz="4"/>
              <w:bottom w:val="single" w:color="AAAAAA" w:sz="4"/>
              <w:right w:val="single" w:color="AAAAAA" w:sz="4"/>
            </w:tcBorders>
            <w:shd w:fill="70AD4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14</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Nivel 2</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DSS04 — Gestionar la continuidad</w:t>
            </w:r>
          </w:p>
        </w:tc>
        <w:tc>
          <w:tcPr>
            <w:tcW w:type="dxa" w:w="900"/>
            <w:tcBorders>
              <w:top w:val="single" w:color="AAAAAA" w:sz="4"/>
              <w:left w:val="single" w:color="AAAAAA" w:sz="4"/>
              <w:bottom w:val="single" w:color="AAAAAA" w:sz="4"/>
              <w:right w:val="single" w:color="AAAAAA" w:sz="4"/>
            </w:tcBorders>
            <w:shd w:fill="C9A84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DSS</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12</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Nivel 2</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APO13 — Gestionar la seguridad</w:t>
            </w:r>
          </w:p>
        </w:tc>
        <w:tc>
          <w:tcPr>
            <w:tcW w:type="dxa" w:w="9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FFFFFF"/>
                <w:sz w:val="18"/>
                <w:szCs w:val="18"/>
              </w:rPr>
              <w:t xml:space="preserve">APO</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12</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Nivel 2</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4</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BAI03 — Gestionar construcción de soluciones</w:t>
            </w:r>
          </w:p>
        </w:tc>
        <w:tc>
          <w:tcPr>
            <w:tcW w:type="dxa" w:w="900"/>
            <w:tcBorders>
              <w:top w:val="single" w:color="AAAAAA" w:sz="4"/>
              <w:left w:val="single" w:color="AAAAAA" w:sz="4"/>
              <w:bottom w:val="single" w:color="AAAAAA" w:sz="4"/>
              <w:right w:val="single" w:color="AAAAAA" w:sz="4"/>
            </w:tcBorders>
            <w:shd w:fill="70AD4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FFFFFF"/>
                <w:sz w:val="18"/>
                <w:szCs w:val="18"/>
              </w:rPr>
              <w:t xml:space="preserve">BAI</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Nivel 2</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DSS01 — Gestionar las operaciones</w:t>
            </w:r>
          </w:p>
        </w:tc>
        <w:tc>
          <w:tcPr>
            <w:tcW w:type="dxa" w:w="900"/>
            <w:tcBorders>
              <w:top w:val="single" w:color="AAAAAA" w:sz="4"/>
              <w:left w:val="single" w:color="AAAAAA" w:sz="4"/>
              <w:bottom w:val="single" w:color="AAAAAA" w:sz="4"/>
              <w:right w:val="single" w:color="AAAAAA" w:sz="4"/>
            </w:tcBorders>
            <w:shd w:fill="C9A84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DSS</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Nivel 2</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6</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APO12 — Gestionar el riesgo</w:t>
            </w:r>
          </w:p>
        </w:tc>
        <w:tc>
          <w:tcPr>
            <w:tcW w:type="dxa" w:w="9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FFFFFF"/>
                <w:sz w:val="18"/>
                <w:szCs w:val="18"/>
              </w:rPr>
              <w:t xml:space="preserve">APO</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Nivel 2</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7</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APO04 — Gestionar la innovación</w:t>
            </w:r>
          </w:p>
        </w:tc>
        <w:tc>
          <w:tcPr>
            <w:tcW w:type="dxa" w:w="9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FFFFFF"/>
                <w:sz w:val="18"/>
                <w:szCs w:val="18"/>
              </w:rPr>
              <w:t xml:space="preserve">APO</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Nivel 1</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8</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EDM03 — Asegurar la optimización del riesgo</w:t>
            </w:r>
          </w:p>
        </w:tc>
        <w:tc>
          <w:tcPr>
            <w:tcW w:type="dxa" w:w="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FFFFFF"/>
                <w:sz w:val="18"/>
                <w:szCs w:val="18"/>
              </w:rPr>
              <w:t xml:space="preserve">EDM</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Nivel 1</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9</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MEA03 — Gestionar cumplimiento de requisitos externos</w:t>
            </w:r>
          </w:p>
        </w:tc>
        <w:tc>
          <w:tcPr>
            <w:tcW w:type="dxa" w:w="900"/>
            <w:tcBorders>
              <w:top w:val="single" w:color="AAAAAA" w:sz="4"/>
              <w:left w:val="single" w:color="AAAAAA" w:sz="4"/>
              <w:bottom w:val="single" w:color="AAAAAA" w:sz="4"/>
              <w:right w:val="single" w:color="AAAAAA" w:sz="4"/>
            </w:tcBorders>
            <w:shd w:fill="7030A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FFFFFF"/>
                <w:sz w:val="18"/>
                <w:szCs w:val="18"/>
              </w:rPr>
              <w:t xml:space="preserve">MEA</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Nivel 2</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APO14 — Gestionar los datos</w:t>
            </w:r>
          </w:p>
        </w:tc>
        <w:tc>
          <w:tcPr>
            <w:tcW w:type="dxa" w:w="9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FFFFFF"/>
                <w:sz w:val="18"/>
                <w:szCs w:val="18"/>
              </w:rPr>
              <w:t xml:space="preserve">APO</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Nivel 2</w:t>
            </w:r>
          </w:p>
        </w:tc>
      </w:tr>
    </w:tbl>
    <w:p>
      <w:pPr>
        <w:spacing w:after="60" w:before="60"/>
      </w:pPr>
      <w:r>
        <w:rPr>
          <w:rFonts w:ascii="Arial" w:cs="Arial" w:eastAsia="Arial" w:hAnsi="Arial"/>
          <w:b w:val="false"/>
          <w:bCs w:val="false"/>
          <w:i/>
          <w:iCs/>
          <w:color w:val="555555"/>
          <w:sz w:val="20"/>
          <w:szCs w:val="20"/>
        </w:rPr>
        <w:t xml:space="preserve">Esta tabla quedó registrada en la hoja “3ra Cascada - Procesos COBIT”, en la sección “PROCESOS COBIT 2019 PRIORIZADOS PARA EL BCRP”, junto con la brecha (GAP) específica identificada en el PETI para cada uno.</w:t>
      </w:r>
    </w:p>
    <w:p>
      <w:pPr>
        <w:spacing w:before="100"/>
      </w:pPr>
    </w:p>
    <w:p>
      <w:pPr>
        <w:spacing w:after="120" w:before="240"/>
      </w:pPr>
      <w:r>
        <w:rPr>
          <w:rFonts w:ascii="Arial" w:cs="Arial" w:eastAsia="Arial" w:hAnsi="Arial"/>
          <w:b/>
          <w:bCs/>
          <w:color w:val="2E75B6"/>
          <w:sz w:val="24"/>
          <w:szCs w:val="24"/>
        </w:rPr>
        <w:t xml:space="preserve">2.5. Selección final: los 6 procesos centrales del proyecto</w:t>
      </w:r>
    </w:p>
    <w:p>
      <w:pPr>
        <w:spacing w:after="60" w:before="60"/>
      </w:pPr>
      <w:r>
        <w:rPr>
          <w:rFonts w:ascii="Arial" w:cs="Arial" w:eastAsia="Arial" w:hAnsi="Arial"/>
          <w:b w:val="false"/>
          <w:bCs w:val="false"/>
          <w:i w:val="false"/>
          <w:iCs w:val="false"/>
          <w:color w:val="000000"/>
          <w:sz w:val="20"/>
          <w:szCs w:val="20"/>
        </w:rPr>
        <w:t xml:space="preserve">De los 10 procesos anteriores, el equipo concentró el desarrollo profundo (los 7 Componentes de COBIT 2019) en los 6 que combinan el mayor puntaje en la cascada con la mayor severidad de brecha documentada en el PETI: DSS05, DSS04, APO13, APO12, EDM03 y MEA03. Los procesos BAI03, DSS01, APO04 y APO14 quedaron identificados como prioritarios pero de segundo orden, y se recomienda desarrollarlos en una siguiente iteración del proyecto.</w:t>
      </w:r>
    </w:p>
    <w:p>
      <w:pPr>
        <w:pBdr>
          <w:bottom w:val="single" w:color="2E75B6" w:sz="6"/>
        </w:pBdr>
        <w:spacing w:after="120" w:before="120"/>
      </w:pPr>
      <w:r>
        <w:t xml:space="preserve"/>
      </w:r>
    </w:p>
    <w:p>
      <w:pPr>
        <w:shd w:fill="1F3864" w:val="clear"/>
        <w:spacing w:after="160" w:before="320"/>
      </w:pPr>
      <w:r>
        <w:rPr>
          <w:rFonts w:ascii="Arial" w:cs="Arial" w:eastAsia="Arial" w:hAnsi="Arial"/>
          <w:b/>
          <w:bCs/>
          <w:color w:val="FFFFFF"/>
          <w:sz w:val="28"/>
          <w:szCs w:val="28"/>
        </w:rPr>
        <w:t xml:space="preserve">3. APLICACIÓN DEL KIT DE DISEÑO COBIT 2019 (ISACA)</w:t>
      </w:r>
    </w:p>
    <w:p>
      <w:pPr>
        <w:spacing w:after="60" w:before="60"/>
      </w:pPr>
      <w:r>
        <w:rPr>
          <w:rFonts w:ascii="Arial" w:cs="Arial" w:eastAsia="Arial" w:hAnsi="Arial"/>
          <w:b w:val="false"/>
          <w:bCs w:val="false"/>
          <w:i w:val="false"/>
          <w:iCs w:val="false"/>
          <w:color w:val="000000"/>
          <w:sz w:val="20"/>
          <w:szCs w:val="20"/>
        </w:rPr>
        <w:t xml:space="preserve">Una vez priorizados los 6 procesos centrales mediante el Modelo en Cascada, el equipo utilizó la segunda herramienta oficial del marco: el Kit de Herramientas de Diseño del Sistema de Gobierno COBIT® 2019, publicado por ISACA bajo el nombre de archivo 615983147.xlsx. Esta herramienta no reemplaza a la cascada, sino que la complementa desde un ángulo distinto: en lugar de partir de los objetivos institucionales, parte de 10 factores contextuales de la organización (su estrategia, su perfil de riesgo, el panorama de amenazas que enfrenta, etc.) y calcula automáticamente, mediante fórmulas predefinidas por ISACA, qué tan importante es cada uno de los 40 procesos COBIT para esa organización en particular.</w:t>
      </w:r>
    </w:p>
    <w:p>
      <w:pPr>
        <w:spacing w:after="60" w:before="60"/>
      </w:pPr>
      <w:r>
        <w:rPr>
          <w:rFonts w:ascii="Arial" w:cs="Arial" w:eastAsia="Arial" w:hAnsi="Arial"/>
          <w:b w:val="false"/>
          <w:bCs w:val="false"/>
          <w:i/>
          <w:iCs/>
          <w:color w:val="555555"/>
          <w:sz w:val="20"/>
          <w:szCs w:val="20"/>
        </w:rPr>
        <w:t xml:space="preserve">El equipo trabajó sobre la copia local del archivo, denominada “VI - Cuadro Resumen.xlsx”, ingresando en cada una de las 10 hojas (DF1 a DF10) los valores correspondientes a la realidad del BCRP, documentados a continuación factor por factor.</w:t>
      </w:r>
    </w:p>
    <w:p>
      <w:pPr>
        <w:spacing w:before="120"/>
      </w:pPr>
    </w:p>
    <w:p>
      <w:pPr>
        <w:spacing w:after="120" w:before="240"/>
      </w:pPr>
      <w:r>
        <w:rPr>
          <w:rFonts w:ascii="Arial" w:cs="Arial" w:eastAsia="Arial" w:hAnsi="Arial"/>
          <w:b/>
          <w:bCs/>
          <w:color w:val="2E75B6"/>
          <w:sz w:val="24"/>
          <w:szCs w:val="24"/>
        </w:rPr>
        <w:t xml:space="preserve">3.1. Factor de Diseño 1 — Estrategia Empresarial</w:t>
      </w:r>
    </w:p>
    <w:p>
      <w:pPr>
        <w:spacing w:after="60" w:before="60"/>
      </w:pPr>
      <w:r>
        <w:rPr>
          <w:rFonts w:ascii="Arial" w:cs="Arial" w:eastAsia="Arial" w:hAnsi="Arial"/>
          <w:b w:val="false"/>
          <w:bCs w:val="false"/>
          <w:i w:val="false"/>
          <w:iCs w:val="false"/>
          <w:color w:val="000000"/>
          <w:sz w:val="20"/>
          <w:szCs w:val="20"/>
        </w:rPr>
        <w:t xml:space="preserve">Este factor pide clasificar a la organización según 4 arquetipos estratégicos universales, asignando a cada uno un valor de 1 (poco relevante) a 5 (crítico). En lugar de asignar estos valores de forma subjetiva, el equipo los derivó de un conteo objetivo: de los 5 objetivos institucionales seleccionados en el paso 2.1, se revisó a qué arquetipo corresponde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Objetivo del BCRP</w:t>
            </w:r>
          </w:p>
        </w:tc>
        <w:tc>
          <w:tcPr>
            <w:tcW w:type="dxa" w:w="46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Arquetipo COBIT relacionado</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OE4 (estabilidad financiera y pagos)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Servicio al cliente / Estabilidad</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OE14 (gestión de riesgos)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Servicio al cliente / Estabilidad</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OE1 / OE5 (inflación y reservas)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Servicio al cliente / Estabilidad</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OE10 (innovación tecnológica)</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Innovación / Diferenciación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OE9 (talento profesional)</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Innovación / Diferenciación</w:t>
            </w:r>
          </w:p>
        </w:tc>
      </w:tr>
    </w:tbl>
    <w:p>
      <w:pPr>
        <w:spacing w:after="60" w:before="60"/>
      </w:pPr>
      <w:r>
        <w:rPr>
          <w:rFonts w:ascii="Arial" w:cs="Arial" w:eastAsia="Arial" w:hAnsi="Arial"/>
          <w:b w:val="false"/>
          <w:bCs w:val="false"/>
          <w:i w:val="false"/>
          <w:iCs w:val="false"/>
          <w:color w:val="000000"/>
          <w:sz w:val="20"/>
          <w:szCs w:val="20"/>
        </w:rPr>
        <w:t xml:space="preserve">El conteo arrojó 3 de 5 objetivos (60%) en el arquetipo Servicio al cliente/Estabilidad y 2 de 5 (40%) en Innovación/Diferenciación. Esta proporción se trasladó a la escala 1-5 de la siguiente manera, dejando un valor mínimo de 1 para los arquetipos sin evidencia institucional directa (Crecimiento/Adquisición no aplica a un banco central, que no compite en mercado ni busca adquirir entidades):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tblHeader/>
        </w:trPr>
        <w:tc>
          <w:tcPr>
            <w:tcW w:type="dxa" w:w="56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Arquetipo</w:t>
            </w:r>
          </w:p>
        </w:tc>
        <w:tc>
          <w:tcPr>
            <w:tcW w:type="dxa" w:w="36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Valor ingresado (DF1, celdas D7-D10)</w:t>
            </w:r>
          </w:p>
        </w:tc>
      </w:tr>
      <w:tr>
        <w:tc>
          <w:tcPr>
            <w:tcW w:type="dxa" w:w="5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Crecimiento / Adquisición</w:t>
            </w:r>
          </w:p>
        </w:tc>
        <w:tc>
          <w:tcPr>
            <w:tcW w:type="dxa" w:w="3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w:t>
            </w:r>
          </w:p>
        </w:tc>
      </w:tr>
      <w:tr>
        <w:tc>
          <w:tcPr>
            <w:tcW w:type="dxa" w:w="5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Innovación / Diferenciación</w:t>
            </w:r>
          </w:p>
        </w:tc>
        <w:tc>
          <w:tcPr>
            <w:tcW w:type="dxa" w:w="3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r>
      <w:tr>
        <w:tc>
          <w:tcPr>
            <w:tcW w:type="dxa" w:w="5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Liderazgo en Costos</w:t>
            </w:r>
          </w:p>
        </w:tc>
        <w:tc>
          <w:tcPr>
            <w:tcW w:type="dxa" w:w="3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w:t>
            </w:r>
          </w:p>
        </w:tc>
      </w:tr>
      <w:tr>
        <w:tc>
          <w:tcPr>
            <w:tcW w:type="dxa" w:w="5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Servicio al Cliente / Estabilidad</w:t>
            </w:r>
          </w:p>
        </w:tc>
        <w:tc>
          <w:tcPr>
            <w:tcW w:type="dxa" w:w="3680"/>
            <w:tcBorders>
              <w:top w:val="single" w:color="AAAAAA" w:sz="4"/>
              <w:left w:val="single" w:color="AAAAAA" w:sz="4"/>
              <w:bottom w:val="single" w:color="AAAAAA" w:sz="4"/>
              <w:right w:val="single" w:color="AAAAAA" w:sz="4"/>
            </w:tcBorders>
            <w:shd w:fill="70AD4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5</w:t>
            </w:r>
          </w:p>
        </w:tc>
      </w:tr>
    </w:tbl>
    <w:p>
      <w:pPr>
        <w:spacing w:before="150"/>
      </w:pPr>
    </w:p>
    <w:p>
      <w:pPr>
        <w:spacing w:after="120" w:before="240"/>
      </w:pPr>
      <w:r>
        <w:rPr>
          <w:rFonts w:ascii="Arial" w:cs="Arial" w:eastAsia="Arial" w:hAnsi="Arial"/>
          <w:b/>
          <w:bCs/>
          <w:color w:val="2E75B6"/>
          <w:sz w:val="24"/>
          <w:szCs w:val="24"/>
        </w:rPr>
        <w:t xml:space="preserve">3.2. Factor de Diseño 2 — Metas Empresariales</w:t>
      </w:r>
    </w:p>
    <w:p>
      <w:pPr>
        <w:spacing w:after="60" w:before="60"/>
      </w:pPr>
      <w:r>
        <w:rPr>
          <w:rFonts w:ascii="Arial" w:cs="Arial" w:eastAsia="Arial" w:hAnsi="Arial"/>
          <w:b w:val="false"/>
          <w:bCs w:val="false"/>
          <w:i w:val="false"/>
          <w:iCs w:val="false"/>
          <w:color w:val="000000"/>
          <w:sz w:val="20"/>
          <w:szCs w:val="20"/>
        </w:rPr>
        <w:t xml:space="preserve">Este es el factor donde el equipo decidió aplicar el criterio más riguroso de todo el proyecto: en lugar de volver a estimar manualmente la importancia de cada una de las 13 metas corporativas (lo cual hubiera generado el riesgo de contradecir el trabajo ya hecho en la Primera Cascada), se utilizó directamente el resultado numérico obtenido en el paso 2.2 de este manual.</w:t>
      </w:r>
    </w:p>
    <w:p>
      <w:pPr>
        <w:spacing w:after="60" w:before="60"/>
      </w:pPr>
      <w:r>
        <w:rPr>
          <w:rFonts w:ascii="Arial" w:cs="Arial" w:eastAsia="Arial" w:hAnsi="Arial"/>
          <w:b w:val="false"/>
          <w:bCs w:val="false"/>
          <w:i w:val="false"/>
          <w:iCs w:val="false"/>
          <w:color w:val="000000"/>
          <w:sz w:val="20"/>
          <w:szCs w:val="20"/>
        </w:rPr>
        <w:t xml:space="preserve">El procedimiento de conversión fue el siguiente: se tomó la suma total de cada meta corporativa en la Primera Cascada (un rango real de 2 a 8 puntos sobre un máximo posible de 10), y se aplicó una conversión lineal a la escala 1-5 exigida por el Factor de Diseño 2, mediante la fórmula:</w:t>
      </w:r>
    </w:p>
    <w:p>
      <w:pPr>
        <w:spacing w:after="60" w:before="60"/>
      </w:pPr>
      <w:r>
        <w:rPr>
          <w:rFonts w:ascii="Arial" w:cs="Arial" w:eastAsia="Arial" w:hAnsi="Arial"/>
          <w:b/>
          <w:bCs/>
          <w:i/>
          <w:iCs/>
          <w:color w:val="2E75B6"/>
          <w:sz w:val="20"/>
          <w:szCs w:val="20"/>
        </w:rPr>
        <w:t xml:space="preserve">Valor DF2 = redondeo de [ 1 + (Suma_Cascada − 2) × 4 / 6 ]</w:t>
      </w:r>
    </w:p>
    <w:p>
      <w:pPr>
        <w:spacing w:after="60" w:before="60"/>
      </w:pPr>
      <w:r>
        <w:rPr>
          <w:rFonts w:ascii="Arial" w:cs="Arial" w:eastAsia="Arial" w:hAnsi="Arial"/>
          <w:b w:val="false"/>
          <w:bCs w:val="false"/>
          <w:i w:val="false"/>
          <w:iCs w:val="false"/>
          <w:color w:val="000000"/>
          <w:sz w:val="20"/>
          <w:szCs w:val="20"/>
        </w:rPr>
        <w:t xml:space="preserve">Donde 2 es el valor mínimo observado (EG09) y 8 es el valor máximo observado (EG08) en la matriz real de la Primera Cascada. Esta fórmula garantiza que el proceso con más puntaje en la cascada reciba el valor máximo (5) en el Factor de Diseño 2, y el de menos puntaje reciba el valor mínimo (1), conservando exactamente el mismo orden de prioridad en ambas herramientas.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460"/>
      </w:tblGrid>
      <w:tr>
        <w:trPr>
          <w:tblHeader/>
        </w:trPr>
        <w:tc>
          <w:tcPr>
            <w:tcW w:type="dxa" w:w="4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Meta</w:t>
            </w:r>
          </w:p>
        </w:tc>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Suma en Primera Cascada</w:t>
            </w:r>
          </w:p>
        </w:tc>
        <w:tc>
          <w:tcPr>
            <w:tcW w:type="dxa" w:w="24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Valor convertido en DF2</w:t>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EG08 — Optimización de procesos internos</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8 (máximo)</w:t>
            </w:r>
          </w:p>
        </w:tc>
        <w:tc>
          <w:tcPr>
            <w:tcW w:type="dxa" w:w="2460"/>
            <w:tcBorders>
              <w:top w:val="single" w:color="AAAAAA" w:sz="4"/>
              <w:left w:val="single" w:color="AAAAAA" w:sz="4"/>
              <w:bottom w:val="single" w:color="AAAAAA" w:sz="4"/>
              <w:right w:val="single" w:color="AAAAAA" w:sz="4"/>
            </w:tcBorders>
            <w:shd w:fill="70AD4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5</w:t>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EG06 — Continuidad y disponibilidad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w:t>
            </w:r>
          </w:p>
        </w:tc>
        <w:tc>
          <w:tcPr>
            <w:tcW w:type="dxa" w:w="2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EG07 — Calidad de información gerencial</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w:t>
            </w:r>
          </w:p>
        </w:tc>
        <w:tc>
          <w:tcPr>
            <w:tcW w:type="dxa" w:w="2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EG11 — Cumplimiento con políticas internas</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w:t>
            </w:r>
          </w:p>
        </w:tc>
        <w:tc>
          <w:tcPr>
            <w:tcW w:type="dxa" w:w="2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EG12 — Transformación digital gestionada</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w:t>
            </w:r>
          </w:p>
        </w:tc>
        <w:tc>
          <w:tcPr>
            <w:tcW w:type="dxa" w:w="2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EG02 — Riesgos de negocio gestionado</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w:t>
            </w:r>
          </w:p>
        </w:tc>
        <w:tc>
          <w:tcPr>
            <w:tcW w:type="dxa" w:w="2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EG13 — Innovación de productos y negocio</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2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w:t>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EG01, EG03, EG04, EG05, EG10</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 a 4</w:t>
            </w:r>
          </w:p>
        </w:tc>
        <w:tc>
          <w:tcPr>
            <w:tcW w:type="dxa" w:w="2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w:t>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EG09 — Optimización de costos</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 (mínimo)</w:t>
            </w:r>
          </w:p>
        </w:tc>
        <w:tc>
          <w:tcPr>
            <w:tcW w:type="dxa" w:w="2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w:t>
            </w:r>
          </w:p>
        </w:tc>
      </w:tr>
    </w:tbl>
    <w:p>
      <w:pPr>
        <w:spacing w:after="60" w:before="60"/>
      </w:pPr>
      <w:r>
        <w:rPr>
          <w:rFonts w:ascii="Arial" w:cs="Arial" w:eastAsia="Arial" w:hAnsi="Arial"/>
          <w:b w:val="false"/>
          <w:bCs w:val="false"/>
          <w:i/>
          <w:iCs/>
          <w:color w:val="2E75B6"/>
          <w:sz w:val="20"/>
          <w:szCs w:val="20"/>
        </w:rPr>
        <w:t xml:space="preserve">Esta es la razón metodológica concreta por la cual el Factor de Diseño 2 del Kit ISACA y la Primera Cascada del equipo no se contradicen entre sí: el segundo es una transformación matemática directa del primero.</w:t>
      </w:r>
    </w:p>
    <w:p>
      <w:pPr>
        <w:spacing w:before="150"/>
      </w:pPr>
    </w:p>
    <w:p>
      <w:pPr>
        <w:spacing w:after="120" w:before="240"/>
      </w:pPr>
      <w:r>
        <w:rPr>
          <w:rFonts w:ascii="Arial" w:cs="Arial" w:eastAsia="Arial" w:hAnsi="Arial"/>
          <w:b/>
          <w:bCs/>
          <w:color w:val="2E75B6"/>
          <w:sz w:val="24"/>
          <w:szCs w:val="24"/>
        </w:rPr>
        <w:t xml:space="preserve">3.3. Factor de Diseño 3 — Perfil de Riesgo</w:t>
      </w:r>
    </w:p>
    <w:p>
      <w:pPr>
        <w:spacing w:after="60" w:before="60"/>
      </w:pPr>
      <w:r>
        <w:rPr>
          <w:rFonts w:ascii="Arial" w:cs="Arial" w:eastAsia="Arial" w:hAnsi="Arial"/>
          <w:b w:val="false"/>
          <w:bCs w:val="false"/>
          <w:i w:val="false"/>
          <w:iCs w:val="false"/>
          <w:color w:val="000000"/>
          <w:sz w:val="20"/>
          <w:szCs w:val="20"/>
        </w:rPr>
        <w:t xml:space="preserve">Este factor exige calificar, para 19 categorías genéricas de riesgo tecnológico definidas por COBIT, dos valores independientes: el Impacto (qué tan grave sería si el riesgo se materializa) y la Probabilidad (qué tan posible es que ocurra), ambos en escala 1 a 5. El equipo basó cada calificación en hechos documentados del PETI, no en percepciones.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100"/>
        <w:gridCol w:w="1100"/>
        <w:gridCol w:w="3460"/>
      </w:tblGrid>
      <w:tr>
        <w:trPr>
          <w:tblHeader/>
        </w:trPr>
        <w:tc>
          <w:tcPr>
            <w:tcW w:type="dxa" w:w="3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Categoría de riesgo</w:t>
            </w:r>
          </w:p>
        </w:tc>
        <w:tc>
          <w:tcPr>
            <w:tcW w:type="dxa" w:w="1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Impacto</w:t>
            </w:r>
          </w:p>
        </w:tc>
        <w:tc>
          <w:tcPr>
            <w:tcW w:type="dxa" w:w="1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Probab.</w:t>
            </w:r>
          </w:p>
        </w:tc>
        <w:tc>
          <w:tcPr>
            <w:tcW w:type="dxa" w:w="34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Evidencia documental (PETI BCRP)</w:t>
            </w:r>
          </w:p>
        </w:tc>
      </w:tr>
      <w:tr>
        <w:tc>
          <w:tcPr>
            <w:tcW w:type="dxa" w:w="3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Ataques lógicos (hacking, malware, ransomware)</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3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El PETI identifica explícitamente la necesidad de “refuerzo de protocolos y defensa contra ciberataques” como brecha activa</w:t>
            </w:r>
          </w:p>
        </w:tc>
      </w:tr>
      <w:tr>
        <w:tc>
          <w:tcPr>
            <w:tcW w:type="dxa" w:w="3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Acciones no autorizadas (fraude interno/externo)</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3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Precedente sectorial de fraude vía mensajería SWIFT en bancos centrales de la región</w:t>
            </w:r>
          </w:p>
        </w:tc>
      </w:tr>
      <w:tr>
        <w:tc>
          <w:tcPr>
            <w:tcW w:type="dxa" w:w="3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Gestión de datos e información</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3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El PETI señala datamarts parciales e integración estadística incompleta entre gerencias</w:t>
            </w:r>
          </w:p>
        </w:tc>
      </w:tr>
      <w:tr>
        <w:tc>
          <w:tcPr>
            <w:tcW w:type="dxa" w:w="3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Incidentes de infraestructura operativa de TI</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3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El PETI documenta solo 2 centros de datos, sin redundancia geográfica plena (“tercer data center” pendiente)</w:t>
            </w:r>
          </w:p>
        </w:tc>
      </w:tr>
      <w:tr>
        <w:tc>
          <w:tcPr>
            <w:tcW w:type="dxa" w:w="3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Cuestiones geopolíticas</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w:t>
            </w:r>
          </w:p>
        </w:tc>
        <w:tc>
          <w:tcPr>
            <w:tcW w:type="dxa" w:w="3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Riesgo bajo en el contexto institucional actual del Perú</w:t>
            </w:r>
          </w:p>
        </w:tc>
      </w:tr>
    </w:tbl>
    <w:p>
      <w:pPr>
        <w:spacing w:after="60" w:before="60"/>
      </w:pPr>
      <w:r>
        <w:rPr>
          <w:rFonts w:ascii="Arial" w:cs="Arial" w:eastAsia="Arial" w:hAnsi="Arial"/>
          <w:b w:val="false"/>
          <w:bCs w:val="false"/>
          <w:i/>
          <w:iCs/>
          <w:color w:val="777777"/>
          <w:sz w:val="17"/>
          <w:szCs w:val="17"/>
        </w:rPr>
        <w:t xml:space="preserve">(Tabla resumida; la matriz completa con las 19 categorías está en la hoja DF3 del archivo de trabajo)</w:t>
      </w:r>
    </w:p>
    <w:p>
      <w:pPr>
        <w:spacing w:before="150"/>
      </w:pPr>
    </w:p>
    <w:p>
      <w:pPr>
        <w:spacing w:after="120" w:before="240"/>
      </w:pPr>
      <w:r>
        <w:rPr>
          <w:rFonts w:ascii="Arial" w:cs="Arial" w:eastAsia="Arial" w:hAnsi="Arial"/>
          <w:b/>
          <w:bCs/>
          <w:color w:val="2E75B6"/>
          <w:sz w:val="24"/>
          <w:szCs w:val="24"/>
        </w:rPr>
        <w:t xml:space="preserve">3.4. Factor de Diseño 4 — Problemas Relacionados con TI</w:t>
      </w:r>
    </w:p>
    <w:p>
      <w:pPr>
        <w:spacing w:after="60" w:before="60"/>
      </w:pPr>
      <w:r>
        <w:rPr>
          <w:rFonts w:ascii="Arial" w:cs="Arial" w:eastAsia="Arial" w:hAnsi="Arial"/>
          <w:b w:val="false"/>
          <w:bCs w:val="false"/>
          <w:i w:val="false"/>
          <w:iCs w:val="false"/>
          <w:color w:val="000000"/>
          <w:sz w:val="20"/>
          <w:szCs w:val="20"/>
        </w:rPr>
        <w:t xml:space="preserve">Este factor presenta 20 problemas típicos que puede enfrentar cualquier área de TI, calificados en una escala de 3 niveles: 1 (sin problema), 2 (problema) y 3 (problema grave). El equipo marcó como “grave” (valor 3) únicamente aquellos problemas con evidencia textual directa en el diagnóstico del PETI: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Problema marcado como GRAVE (valor 3)</w:t>
            </w:r>
          </w:p>
        </w:tc>
        <w:tc>
          <w:tcPr>
            <w:tcW w:type="dxa" w:w="4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Cita o evidencia del PETI</w:t>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Incidentes significativos de seguridad</w:t>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Brecha de ciberseguridad identificada como prioritaria en el cuadro de brechas del PETI</w:t>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Recursos de TI insuficientes / personal con habilidades inadecuadas</w:t>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El Objetivo Estratégico OE9 reconoce la dificultad de “atraer y retener talento profesional” especializado</w:t>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Proyectos de TI que no satisfacen al negocio o llegan tarde</w:t>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El PETI señala expresamente la necesidad de modernizar el LBTR, sistema que opera con tecnología desactualizada</w:t>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Implementación obstaculizada por la arquitectura actual</w:t>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Arquitectura legacy del LBTR y del Sistema de Instrumentos Monetarios y Cambiarios (SIMC)</w:t>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Problemas de calidad e integración de datos</w:t>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Datamarts parciales y bases estadísticas sin integración plena entre gerencias</w:t>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Incapacidad de aprovechar nuevas tecnologías</w:t>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El Observatorio Tecnológico para Moneda Digital de Banco Central (CBDC) figura como pendiente de implementación</w:t>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Incumplimiento de requisitos regulatorios o contractuales</w:t>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Certificación SWIFT Customer Security Programme (CSP) e ISO/IEC 27001 aún no completadas formalmente</w:t>
            </w:r>
          </w:p>
        </w:tc>
      </w:tr>
    </w:tbl>
    <w:p>
      <w:pPr>
        <w:spacing w:before="150"/>
      </w:pPr>
    </w:p>
    <w:p>
      <w:pPr>
        <w:spacing w:after="120" w:before="240"/>
      </w:pPr>
      <w:r>
        <w:rPr>
          <w:rFonts w:ascii="Arial" w:cs="Arial" w:eastAsia="Arial" w:hAnsi="Arial"/>
          <w:b/>
          <w:bCs/>
          <w:color w:val="2E75B6"/>
          <w:sz w:val="24"/>
          <w:szCs w:val="24"/>
        </w:rPr>
        <w:t xml:space="preserve">3.5. Factores de Diseño 5 al 10 — Resumen de valores porcentuales y escalares</w:t>
      </w:r>
    </w:p>
    <w:p>
      <w:pPr>
        <w:spacing w:after="60" w:before="60"/>
      </w:pPr>
      <w:r>
        <w:rPr>
          <w:rFonts w:ascii="Arial" w:cs="Arial" w:eastAsia="Arial" w:hAnsi="Arial"/>
          <w:b w:val="false"/>
          <w:bCs w:val="false"/>
          <w:i w:val="false"/>
          <w:iCs w:val="false"/>
          <w:color w:val="000000"/>
          <w:sz w:val="20"/>
          <w:szCs w:val="20"/>
        </w:rPr>
        <w:t xml:space="preserve">Los seis factores restantes del Kit de Diseño se califican en formato porcentual (deben sumar 100% entre sus opciones) o en escala 1-5. El equipo definió cada uno a partir de la naturaleza pública, crítica y conservadora del BCRP como banco 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960"/>
      </w:tblGrid>
      <w:tr>
        <w:trPr>
          <w:tblHeader/>
        </w:trPr>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Factor</w:t>
            </w:r>
          </w:p>
        </w:tc>
        <w:tc>
          <w:tcPr>
            <w:tcW w:type="dxa" w:w="2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Pregunta que responde</w:t>
            </w:r>
          </w:p>
        </w:tc>
        <w:tc>
          <w:tcPr>
            <w:tcW w:type="dxa" w:w="4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Valor asignado y argumento</w:t>
            </w:r>
          </w:p>
        </w:tc>
      </w:tr>
      <w:tr>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DF5 — Panorama de amenazas</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¿Qué tan expuesta está la institución a ataques?</w:t>
            </w:r>
          </w:p>
        </w:tc>
        <w:tc>
          <w:tcPr>
            <w:tcW w:type="dxa" w:w="4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100% Alto. El BCRP opera el sistema de pagos nacional y es, por naturaleza, un objetivo prioritario para actores maliciosos avanzados</w:t>
            </w:r>
          </w:p>
        </w:tc>
      </w:tr>
      <w:tr>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DF6 — Requisitos de cumplimiento</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¿Qué tan estricta es la normativa que rige a la institución?</w:t>
            </w:r>
          </w:p>
        </w:tc>
        <w:tc>
          <w:tcPr>
            <w:tcW w:type="dxa" w:w="4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100% Alto. Rige la Constitución Política (Art. 84°), la Ley Orgánica del BCRP, estándares del Banco de Pagos Internacionales (BIS) y SWIFT CSP</w:t>
            </w:r>
          </w:p>
        </w:tc>
      </w:tr>
      <w:tr>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DF7 — Rol de TI</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¿TI es solo soporte o es estratégico?</w:t>
            </w:r>
          </w:p>
        </w:tc>
        <w:tc>
          <w:tcPr>
            <w:tcW w:type="dxa" w:w="4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Fábrica = 5, Estratégico = 5. El LBTR opera 24/7 (rol Fábrica) y el PETI fue aprobado al más alto nivel institucional (rol Estratégico)</w:t>
            </w:r>
          </w:p>
        </w:tc>
      </w:tr>
      <w:tr>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DF8 — Modelo de abastecimiento</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¿Quién provee los servicios de TI?</w:t>
            </w:r>
          </w:p>
        </w:tc>
        <w:tc>
          <w:tcPr>
            <w:tcW w:type="dxa" w:w="4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60% personal interno (Insourced). Los sistemas críticos del BCRP son gestionados directamente por la GTI, no por terceros</w:t>
            </w:r>
          </w:p>
        </w:tc>
      </w:tr>
      <w:tr>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DF9 — Métodos de implementación</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¿Cómo se ejecutan los proyectos de TI?</w:t>
            </w:r>
          </w:p>
        </w:tc>
        <w:tc>
          <w:tcPr>
            <w:tcW w:type="dxa" w:w="4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75% Tradicional (en cascada). Sistemas de criticidad financiera como el LBTR exigen ciclos de control formales, no metodologías ágiles puras</w:t>
            </w:r>
          </w:p>
        </w:tc>
      </w:tr>
      <w:tr>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DF10 — Estrategia de adopción tecnológica</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 institución innova primero o espera?</w:t>
            </w:r>
          </w:p>
        </w:tc>
        <w:tc>
          <w:tcPr>
            <w:tcW w:type="dxa" w:w="4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75% Seguidor (Follower). El BCRP adopta estándares ya probados internacionalmente (ISO 20022, SWIFT CSP) antes que tecnología experimental</w:t>
            </w:r>
          </w:p>
        </w:tc>
      </w:tr>
    </w:tbl>
    <w:p>
      <w:pPr>
        <w:pBdr>
          <w:bottom w:val="single" w:color="2E75B6" w:sz="6"/>
        </w:pBdr>
        <w:spacing w:after="120" w:before="120"/>
      </w:pPr>
      <w:r>
        <w:t xml:space="preserve"/>
      </w:r>
    </w:p>
    <w:p>
      <w:pPr>
        <w:shd w:fill="1F3864" w:val="clear"/>
        <w:spacing w:after="160" w:before="320"/>
      </w:pPr>
      <w:r>
        <w:rPr>
          <w:rFonts w:ascii="Arial" w:cs="Arial" w:eastAsia="Arial" w:hAnsi="Arial"/>
          <w:b/>
          <w:bCs/>
          <w:color w:val="FFFFFF"/>
          <w:sz w:val="28"/>
          <w:szCs w:val="28"/>
        </w:rPr>
        <w:t xml:space="preserve">4. EL CANVAS: CONSOLIDACIÓN AUTOMÁTICA DE LOS 10 FACTORES</w:t>
      </w:r>
    </w:p>
    <w:p>
      <w:pPr>
        <w:spacing w:after="60" w:before="60"/>
      </w:pPr>
      <w:r>
        <w:rPr>
          <w:rFonts w:ascii="Arial" w:cs="Arial" w:eastAsia="Arial" w:hAnsi="Arial"/>
          <w:b w:val="false"/>
          <w:bCs w:val="false"/>
          <w:i w:val="false"/>
          <w:iCs w:val="false"/>
          <w:color w:val="000000"/>
          <w:sz w:val="20"/>
          <w:szCs w:val="20"/>
        </w:rPr>
        <w:t xml:space="preserve">Una vez ingresados los valores de los 10 factores descritos en la sección anterior, el equipo no realizó ningún cálculo manual adicional: la hoja “Canvas” del Kit de Diseño de ISACA combina automáticamente, mediante fórmulas predefinidas por el propio marco COBIT 2019, los 10 factores y entrega un puntaje final (columna “Concluded Scope”) para cada uno de los 40 procesos de gobierno y gestión.</w:t>
      </w:r>
    </w:p>
    <w:p>
      <w:pPr>
        <w:spacing w:after="60" w:before="60"/>
      </w:pPr>
      <w:r>
        <w:rPr>
          <w:rFonts w:ascii="Arial" w:cs="Arial" w:eastAsia="Arial" w:hAnsi="Arial"/>
          <w:b w:val="false"/>
          <w:bCs w:val="false"/>
          <w:i/>
          <w:iCs/>
          <w:color w:val="555555"/>
          <w:sz w:val="20"/>
          <w:szCs w:val="20"/>
        </w:rPr>
        <w:t xml:space="preserve">El equipo se limitó a recalcular las fórmulas del archivo y leer el resultado. Esta es una diferencia metodológica importante frente a la Cascada: mientras la Cascada se construye con matrices que el equipo diseña y puntúa manualmente, el Canvas se calcula solo, una vez que los 10 factores de entrada están correctamente definidos.</w:t>
      </w:r>
    </w:p>
    <w:p>
      <w:pPr>
        <w:spacing w:before="120"/>
      </w:pPr>
    </w:p>
    <w:p>
      <w:pPr>
        <w:spacing w:after="120" w:before="240"/>
      </w:pPr>
      <w:r>
        <w:rPr>
          <w:rFonts w:ascii="Arial" w:cs="Arial" w:eastAsia="Arial" w:hAnsi="Arial"/>
          <w:b/>
          <w:bCs/>
          <w:color w:val="2E75B6"/>
          <w:sz w:val="24"/>
          <w:szCs w:val="24"/>
        </w:rPr>
        <w:t xml:space="preserve">4.1. Verificación de consistencia entre ambas herramientas</w:t>
      </w:r>
    </w:p>
    <w:p>
      <w:pPr>
        <w:spacing w:after="60" w:before="60"/>
      </w:pPr>
      <w:r>
        <w:rPr>
          <w:rFonts w:ascii="Arial" w:cs="Arial" w:eastAsia="Arial" w:hAnsi="Arial"/>
          <w:b w:val="false"/>
          <w:bCs w:val="false"/>
          <w:i w:val="false"/>
          <w:iCs w:val="false"/>
          <w:color w:val="000000"/>
          <w:sz w:val="20"/>
          <w:szCs w:val="20"/>
        </w:rPr>
        <w:t xml:space="preserve">El paso más importante de todo el proyecto fue comparar el resultado automático del Canvas contra el resultado manual de la Tercera Cascada, para confirmar que ambas herramientas, trabajando con datos diferentes y fórmulas diferentes, llegaran a una conclusión coherente sobre el BCRP.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200"/>
        <w:gridCol w:w="1660"/>
      </w:tblGrid>
      <w:tr>
        <w:trPr>
          <w:tblHeader/>
        </w:trPr>
        <w:tc>
          <w:tcPr>
            <w:tcW w:type="dxa" w:w="3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Proceso COBIT</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Puntaje en Tercera Cascada</w:t>
            </w:r>
          </w:p>
        </w:tc>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Puntaje en el Canvas (DF1-DF10)</w:t>
            </w:r>
          </w:p>
        </w:tc>
        <w:tc>
          <w:tcPr>
            <w:tcW w:type="dxa" w:w="16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¿Coinciden?</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APO12 — Gestionar el riesgo</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2200"/>
            <w:tcBorders>
              <w:top w:val="single" w:color="AAAAAA" w:sz="4"/>
              <w:left w:val="single" w:color="AAAAAA" w:sz="4"/>
              <w:bottom w:val="single" w:color="AAAAAA" w:sz="4"/>
              <w:right w:val="single" w:color="AAAAAA" w:sz="4"/>
            </w:tcBorders>
            <w:shd w:fill="70AD4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100</w:t>
            </w:r>
          </w:p>
        </w:tc>
        <w:tc>
          <w:tcPr>
            <w:tcW w:type="dxa" w:w="1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Sí</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EDM03 — Asegurar optimización del riesgo</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w:t>
            </w:r>
          </w:p>
        </w:tc>
        <w:tc>
          <w:tcPr>
            <w:tcW w:type="dxa" w:w="2200"/>
            <w:tcBorders>
              <w:top w:val="single" w:color="AAAAAA" w:sz="4"/>
              <w:left w:val="single" w:color="AAAAAA" w:sz="4"/>
              <w:bottom w:val="single" w:color="AAAAAA" w:sz="4"/>
              <w:right w:val="single" w:color="AAAAAA" w:sz="4"/>
            </w:tcBorders>
            <w:shd w:fill="70AD4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90</w:t>
            </w:r>
          </w:p>
        </w:tc>
        <w:tc>
          <w:tcPr>
            <w:tcW w:type="dxa" w:w="1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Sí</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APO13 — Gestionar la seguridad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w:t>
            </w:r>
          </w:p>
        </w:tc>
        <w:tc>
          <w:tcPr>
            <w:tcW w:type="dxa" w:w="2200"/>
            <w:tcBorders>
              <w:top w:val="single" w:color="AAAAAA" w:sz="4"/>
              <w:left w:val="single" w:color="AAAAAA" w:sz="4"/>
              <w:bottom w:val="single" w:color="AAAAAA" w:sz="4"/>
              <w:right w:val="single" w:color="AAAAAA" w:sz="4"/>
            </w:tcBorders>
            <w:shd w:fill="70AD4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90</w:t>
            </w:r>
          </w:p>
        </w:tc>
        <w:tc>
          <w:tcPr>
            <w:tcW w:type="dxa" w:w="1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Sí</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DSS05 — Gestionar servicios de seguridad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14</w:t>
            </w:r>
          </w:p>
        </w:tc>
        <w:tc>
          <w:tcPr>
            <w:tcW w:type="dxa" w:w="2200"/>
            <w:tcBorders>
              <w:top w:val="single" w:color="AAAAAA" w:sz="4"/>
              <w:left w:val="single" w:color="AAAAAA" w:sz="4"/>
              <w:bottom w:val="single" w:color="AAAAAA" w:sz="4"/>
              <w:right w:val="single" w:color="AAAAAA" w:sz="4"/>
            </w:tcBorders>
            <w:shd w:fill="70AD4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90</w:t>
            </w:r>
          </w:p>
        </w:tc>
        <w:tc>
          <w:tcPr>
            <w:tcW w:type="dxa" w:w="1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Sí</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DSS04 — Gestionar la continuidad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80</w:t>
            </w:r>
          </w:p>
        </w:tc>
        <w:tc>
          <w:tcPr>
            <w:tcW w:type="dxa" w:w="1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Sí</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MEA03 — Gestionar cumplimiento externo</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80</w:t>
            </w:r>
          </w:p>
        </w:tc>
        <w:tc>
          <w:tcPr>
            <w:tcW w:type="dxa" w:w="1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Sí</w:t>
            </w:r>
          </w:p>
        </w:tc>
      </w:tr>
    </w:tbl>
    <w:p>
      <w:pPr>
        <w:spacing w:after="60" w:before="60"/>
      </w:pPr>
      <w:r>
        <w:rPr>
          <w:rFonts w:ascii="Arial" w:cs="Arial" w:eastAsia="Arial" w:hAnsi="Arial"/>
          <w:b/>
          <w:bCs/>
          <w:i w:val="false"/>
          <w:iCs w:val="false"/>
          <w:color w:val="2E75B6"/>
          <w:sz w:val="20"/>
          <w:szCs w:val="20"/>
        </w:rPr>
        <w:t xml:space="preserve">Los 6 procesos que obtuvieron el puntaje más alto en la Tercera Cascada son exactamente los mismos 6 que obtuvieron el puntaje más alto en el Canvas del Kit de Diseño. Esta coincidencia no fue forzada ni ajustada manualmente por el equipo: es la consecuencia natural de que ambas herramientas parten de la misma evidencia real documentada en el PETI del BCRP, aunque el camino de cálculo de cada una sea distinto.</w:t>
      </w:r>
    </w:p>
    <w:p>
      <w:pPr>
        <w:spacing w:before="150"/>
      </w:pPr>
    </w:p>
    <w:p>
      <w:pPr>
        <w:spacing w:after="120" w:before="240"/>
      </w:pPr>
      <w:r>
        <w:rPr>
          <w:rFonts w:ascii="Arial" w:cs="Arial" w:eastAsia="Arial" w:hAnsi="Arial"/>
          <w:b/>
          <w:bCs/>
          <w:color w:val="2E75B6"/>
          <w:sz w:val="24"/>
          <w:szCs w:val="24"/>
        </w:rPr>
        <w:t xml:space="preserve">4.2. Nivel de capacidad sugerido y nivel acordado</w:t>
      </w:r>
    </w:p>
    <w:p>
      <w:pPr>
        <w:spacing w:after="60" w:before="60"/>
      </w:pPr>
      <w:r>
        <w:rPr>
          <w:rFonts w:ascii="Arial" w:cs="Arial" w:eastAsia="Arial" w:hAnsi="Arial"/>
          <w:b w:val="false"/>
          <w:bCs w:val="false"/>
          <w:i w:val="false"/>
          <w:iCs w:val="false"/>
          <w:color w:val="000000"/>
          <w:sz w:val="20"/>
          <w:szCs w:val="20"/>
        </w:rPr>
        <w:t xml:space="preserve">El Canvas, además del puntaje de prioridad, sugiere automáticamente un “Nivel de Capacidad Objetivo” para cada proceso, en la escala de madurez de COBIT 2019 (0 a 5). El equipo revisó esta sugerencia y, en la mayoría de los 6 procesos centrales, la mantuvo sin cambios porque era coherente con la meta institucional de alcanzar el Nivel 3 (Definido) o superior. Sin embargo, en un caso se realizó un ajuste manual deliberado: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300"/>
        <w:gridCol w:w="2960"/>
      </w:tblGrid>
      <w:tr>
        <w:trPr>
          <w:tblHeader/>
        </w:trPr>
        <w:tc>
          <w:tcPr>
            <w:tcW w:type="dxa" w:w="2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Proceso</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Nivel sugerido (automático)</w:t>
            </w:r>
          </w:p>
        </w:tc>
        <w:tc>
          <w:tcPr>
            <w:tcW w:type="dxa" w:w="23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Nivel acordado (decisión del equipo)</w:t>
            </w:r>
          </w:p>
        </w:tc>
        <w:tc>
          <w:tcPr>
            <w:tcW w:type="dxa" w:w="2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Motivo del ajuste</w:t>
            </w:r>
          </w:p>
        </w:tc>
      </w:tr>
      <w:tr>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MEA01 — Supervisión del rendimiento</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w:t>
            </w:r>
          </w:p>
        </w:tc>
        <w:tc>
          <w:tcPr>
            <w:tcW w:type="dxa" w:w="2300"/>
            <w:tcBorders>
              <w:top w:val="single" w:color="AAAAAA" w:sz="4"/>
              <w:left w:val="single" w:color="AAAAAA" w:sz="4"/>
              <w:bottom w:val="single" w:color="AAAAAA" w:sz="4"/>
              <w:right w:val="single" w:color="AAAAAA" w:sz="4"/>
            </w:tcBorders>
            <w:shd w:fill="C9A84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2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El equipo decidió exigir un nivel mayor porque, sin indicadores formales de gobierno reportados al Directorio, ningún otro proceso del Banco puede medir su propio avance de forma confiable</w:t>
            </w:r>
          </w:p>
        </w:tc>
      </w:tr>
      <w:tr>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APO12, EDM03, APO13, DSS05</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2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 mantuvo el nivel sugerido por ser coherente con la criticidad de seguridad y riesgo del Banco</w:t>
            </w:r>
          </w:p>
        </w:tc>
      </w:tr>
      <w:tr>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DSS04, MEA03</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2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 mantuvo el nivel sugerido; ambos procesos ya tienen mecanismos parciales que facilitan llegar al Nivel 4</w:t>
            </w:r>
          </w:p>
        </w:tc>
      </w:tr>
    </w:tbl>
    <w:p>
      <w:pPr>
        <w:spacing w:after="60" w:before="60"/>
      </w:pPr>
      <w:r>
        <w:rPr>
          <w:rFonts w:ascii="Arial" w:cs="Arial" w:eastAsia="Arial" w:hAnsi="Arial"/>
          <w:b w:val="false"/>
          <w:bCs w:val="false"/>
          <w:i/>
          <w:iCs/>
          <w:color w:val="555555"/>
          <w:sz w:val="20"/>
          <w:szCs w:val="20"/>
        </w:rPr>
        <w:t xml:space="preserve">Esta es una práctica explícitamente permitida por la metodología COBIT 2019: el Kit de Diseño aclara que sus resultados automáticos son un punto de partida razonado, no una imposición rígida, y que la organización puede ajustar el nivel acordado si tiene argumentos institucionales de peso para hacerlo.</w:t>
      </w:r>
    </w:p>
    <w:p>
      <w:pPr>
        <w:pBdr>
          <w:bottom w:val="single" w:color="2E75B6" w:sz="6"/>
        </w:pBdr>
        <w:spacing w:after="120" w:before="120"/>
      </w:pPr>
      <w:r>
        <w:t xml:space="preserve"/>
      </w:r>
    </w:p>
    <w:p>
      <w:pPr>
        <w:shd w:fill="1F3864" w:val="clear"/>
        <w:spacing w:after="160" w:before="320"/>
      </w:pPr>
      <w:r>
        <w:rPr>
          <w:rFonts w:ascii="Arial" w:cs="Arial" w:eastAsia="Arial" w:hAnsi="Arial"/>
          <w:b/>
          <w:bCs/>
          <w:color w:val="FFFFFF"/>
          <w:sz w:val="28"/>
          <w:szCs w:val="28"/>
        </w:rPr>
        <w:t xml:space="preserve">5. LOS 7 COMPONENTES: CÓMO SE MATERIALIZA CADA PROCESO EN EL BCRP</w:t>
      </w:r>
    </w:p>
    <w:p>
      <w:pPr>
        <w:spacing w:after="60" w:before="60"/>
      </w:pPr>
      <w:r>
        <w:rPr>
          <w:rFonts w:ascii="Arial" w:cs="Arial" w:eastAsia="Arial" w:hAnsi="Arial"/>
          <w:b w:val="false"/>
          <w:bCs w:val="false"/>
          <w:i w:val="false"/>
          <w:iCs w:val="false"/>
          <w:color w:val="000000"/>
          <w:sz w:val="20"/>
          <w:szCs w:val="20"/>
        </w:rPr>
        <w:t xml:space="preserve">Identificar y priorizar los 6 procesos centrales (APO12, EDM03, APO13, DSS05, DSS04 y MEA03) responde a la pregunta de “qué” se debe gobernar. El siguiente paso del proyecto respondió a la pregunta de “cómo” se materializa cada uno de esos procesos dentro de la estructura real del BCRP, utilizando los 7 Componentes que define COBIT 2019 (anteriormente llamados “catalizadores” en la versión 2012 del marco).</w:t>
      </w:r>
    </w:p>
    <w:p>
      <w:pPr>
        <w:spacing w:after="60" w:before="60"/>
      </w:pPr>
      <w:r>
        <w:rPr>
          <w:rFonts w:ascii="Arial" w:cs="Arial" w:eastAsia="Arial" w:hAnsi="Arial"/>
          <w:b w:val="false"/>
          <w:bCs w:val="false"/>
          <w:i/>
          <w:iCs/>
          <w:color w:val="555555"/>
          <w:sz w:val="20"/>
          <w:szCs w:val="20"/>
        </w:rPr>
        <w:t xml:space="preserve">Este desarrollo completo, con sus subprocesos, prácticas de gobernanza, actividades, matrices RACI, flujos de información, perfiles de personal, políticas y servicios de infraestructura, se documentó en un anexo independiente de 44 páginas (uno por cada proceso). A continuación se presenta únicamente el resumen ejecutivo de cada componente, para facilitar la exposición oral.</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tblHeader/>
        </w:trPr>
        <w:tc>
          <w:tcPr>
            <w:tcW w:type="dxa" w:w="23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Componente</w:t>
            </w:r>
          </w:p>
        </w:tc>
        <w:tc>
          <w:tcPr>
            <w:tcW w:type="dxa" w:w="2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Pregunta que responde</w:t>
            </w:r>
          </w:p>
        </w:tc>
        <w:tc>
          <w:tcPr>
            <w:tcW w:type="dxa" w:w="43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Aplicación concreta en el BCRP</w:t>
            </w:r>
          </w:p>
        </w:tc>
      </w:tr>
      <w:tr>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 Proceso</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¿Qué actividades y subprocesos concretos hay que ejecutar?</w:t>
            </w:r>
          </w:p>
        </w:tc>
        <w:tc>
          <w:tcPr>
            <w:tcW w:type="dxa" w:w="4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Para cada uno de los 6 procesos, se identificaron entre 2 y 3 subprocesos críticos (por ejemplo, en APO12: recopilar datos de riesgo, mantener el perfil de riesgo, y responder al riesgo) con sus actividades y nivel de capacidad actual evaluado</w:t>
            </w:r>
          </w:p>
        </w:tc>
      </w:tr>
      <w:tr>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 Estructuras Organizacionales</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¿Quién es responsable y quién rinde cuentas?</w:t>
            </w:r>
          </w:p>
        </w:tc>
        <w:tc>
          <w:tcPr>
            <w:tcW w:type="dxa" w:w="4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 definió una matriz RACI con roles como el Comité de Gobierno de TI, la Gerencia de Riesgos, la GTI y las gerencias misionales, especificando quién Ejecuta (R) y quién Rinde Cuentas (A) en cada subproceso</w:t>
            </w:r>
          </w:p>
        </w:tc>
      </w:tr>
      <w:tr>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 Flujos de Información</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¿Qué información entra y sale de cada subproceso?</w:t>
            </w:r>
          </w:p>
        </w:tc>
        <w:tc>
          <w:tcPr>
            <w:tcW w:type="dxa" w:w="4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 trazó el origen de cada insumo (por ejemplo, los datos de incidentes SWIFT) y el destino de cada producto (por ejemplo, el perfil de riesgo agregado que llega al Directorio)</w:t>
            </w:r>
          </w:p>
        </w:tc>
      </w:tr>
      <w:tr>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 Personas, Habilidades y Competencias</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¿Qué perfil de personal se necesita?</w:t>
            </w:r>
          </w:p>
        </w:tc>
        <w:tc>
          <w:tcPr>
            <w:tcW w:type="dxa" w:w="4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 identificaron roles clave como el Oficial de Seguridad de la Información (CISO), el Analista de Riesgos TI y el equipo de respuesta a incidentes (CSIRT/CERT), con su nivel de competencia requerido</w:t>
            </w:r>
          </w:p>
        </w:tc>
      </w:tr>
      <w:tr>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 Políticas y Procedimientos</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¿Qué reglas formales deben existir?</w:t>
            </w:r>
          </w:p>
        </w:tc>
        <w:tc>
          <w:tcPr>
            <w:tcW w:type="dxa" w:w="4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 propusieron políticas concretas, como la Política de Captura de Eventos de Riesgo TI (plazo máximo de 24 horas para registrar un incidente) y la Política de Respuesta a Incidentes Críticos</w:t>
            </w:r>
          </w:p>
        </w:tc>
      </w:tr>
      <w:tr>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 Cultura, Ética y Comportamiento</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¿Qué actitudes institucionales sostienen el proceso?</w:t>
            </w:r>
          </w:p>
        </w:tc>
        <w:tc>
          <w:tcPr>
            <w:tcW w:type="dxa" w:w="4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 documentó la necesidad de una cultura de transparencia en el reporte de incidentes (sin temor a represalias) y de prudencia institucional en la evaluación de riesgos por parte del Directorio</w:t>
            </w:r>
          </w:p>
        </w:tc>
      </w:tr>
      <w:tr>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 Servicios, Infraestructura y Aplicaciones</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¿Qué herramientas tecnológicas se requieren?</w:t>
            </w:r>
          </w:p>
        </w:tc>
        <w:tc>
          <w:tcPr>
            <w:tcW w:type="dxa" w:w="4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 identificó la necesidad de un sistema SIEM para monitoreo de seguridad, un módulo HSM para el LBTR, y la implementación del tercer centro de datos pendiente según el PETI</w:t>
            </w:r>
          </w:p>
        </w:tc>
      </w:tr>
    </w:tbl>
    <w:p>
      <w:pPr>
        <w:spacing w:before="120"/>
      </w:pPr>
    </w:p>
    <w:p>
      <w:pPr>
        <w:spacing w:after="120" w:before="240"/>
      </w:pPr>
      <w:r>
        <w:rPr>
          <w:rFonts w:ascii="Arial" w:cs="Arial" w:eastAsia="Arial" w:hAnsi="Arial"/>
          <w:b/>
          <w:bCs/>
          <w:color w:val="2E75B6"/>
          <w:sz w:val="24"/>
          <w:szCs w:val="24"/>
        </w:rPr>
        <w:t xml:space="preserve">5.1. Hallazgo transversal de los 7 Componentes</w:t>
      </w:r>
    </w:p>
    <w:p>
      <w:pPr>
        <w:spacing w:after="60" w:before="60"/>
      </w:pPr>
      <w:r>
        <w:rPr>
          <w:rFonts w:ascii="Arial" w:cs="Arial" w:eastAsia="Arial" w:hAnsi="Arial"/>
          <w:b w:val="false"/>
          <w:bCs w:val="false"/>
          <w:i w:val="false"/>
          <w:iCs w:val="false"/>
          <w:color w:val="000000"/>
          <w:sz w:val="20"/>
          <w:szCs w:val="20"/>
        </w:rPr>
        <w:t xml:space="preserve">Al desarrollar los 7 componentes para los 6 procesos, el equipo identificó un patrón que se repite en casi todos: el nivel de capacidad actual evaluado en las actividades específicas (componente A) suele ser de Nivel 1 o 2, mientras que el nivel objetivo definido en el Canvas es de Nivel 3 o 4. La causa raíz común detrás de esta brecha, en los 6 procesos, es la misma: la ausencia de un Comité de Gobierno de TI formalmente institucionalizado bajo COBIT 2019, lo cual confirma indirectamente por qué el proceso EDM01 (Marco de Gobierno), aunque no esté entre los 6 procesos centrales, aparece mencionado de forma recurrente como causa de fondo en varios de los componentes desarrollados.</w:t>
      </w:r>
    </w:p>
    <w:p>
      <w:pPr>
        <w:pBdr>
          <w:bottom w:val="single" w:color="2E75B6" w:sz="6"/>
        </w:pBdr>
        <w:spacing w:after="120" w:before="120"/>
      </w:pPr>
      <w:r>
        <w:t xml:space="preserve"/>
      </w:r>
    </w:p>
    <w:p>
      <w:pPr>
        <w:shd w:fill="1F3864" w:val="clear"/>
        <w:spacing w:after="160" w:before="320"/>
      </w:pPr>
      <w:r>
        <w:rPr>
          <w:rFonts w:ascii="Arial" w:cs="Arial" w:eastAsia="Arial" w:hAnsi="Arial"/>
          <w:b/>
          <w:bCs/>
          <w:color w:val="FFFFFF"/>
          <w:sz w:val="28"/>
          <w:szCs w:val="28"/>
        </w:rPr>
        <w:t xml:space="preserve">6. CONCLUSIONES</w:t>
      </w:r>
    </w:p>
    <w:p>
      <w:pPr>
        <w:spacing w:after="60" w:before="60"/>
      </w:pPr>
      <w:r>
        <w:rPr>
          <w:rFonts w:ascii="Arial" w:cs="Arial" w:eastAsia="Arial" w:hAnsi="Arial"/>
          <w:b w:val="false"/>
          <w:bCs w:val="false"/>
          <w:i w:val="false"/>
          <w:iCs w:val="false"/>
          <w:color w:val="000000"/>
          <w:sz w:val="20"/>
          <w:szCs w:val="20"/>
        </w:rPr>
        <w:t xml:space="preserve">Primera. El Modelo en Cascada y el Kit de Diseño de ISACA son dos caminos metodológicos distintos dentro del mismo marco COBIT 2019, pero cuando se alimentan con la misma evidencia institucional real, llegan a la misma conclusión: los procesos de mayor urgencia para el BCRP son la gestión del riesgo (APO12, EDM03), la seguridad de la información (APO13, DSS05), la continuidad operativa (DSS04) y el cumplimiento normativo externo (MEA03).</w:t>
      </w:r>
    </w:p>
    <w:p>
      <w:pPr>
        <w:spacing w:after="60" w:before="60"/>
      </w:pPr>
      <w:r>
        <w:rPr>
          <w:rFonts w:ascii="Arial" w:cs="Arial" w:eastAsia="Arial" w:hAnsi="Arial"/>
          <w:b w:val="false"/>
          <w:bCs w:val="false"/>
          <w:i w:val="false"/>
          <w:iCs w:val="false"/>
          <w:color w:val="000000"/>
          <w:sz w:val="20"/>
          <w:szCs w:val="20"/>
        </w:rPr>
        <w:t xml:space="preserve">Segunda. Esta coincidencia no es casualidad metodológica: responde a que el BCRP es, por su naturaleza constitucional, una institución que prioriza la estabilidad y la confianza pública por encima de la innovación disruptiva. Esto se evidenció de forma consistente en los Factores de Diseño 1, 7 y 10 (estrategia orientada a estabilidad, rol de TI como Fábrica y Estratégico, y perfil de adopción tecnológica como Seguidor).</w:t>
      </w:r>
    </w:p>
    <w:p>
      <w:pPr>
        <w:spacing w:after="60" w:before="60"/>
      </w:pPr>
      <w:r>
        <w:rPr>
          <w:rFonts w:ascii="Arial" w:cs="Arial" w:eastAsia="Arial" w:hAnsi="Arial"/>
          <w:b w:val="false"/>
          <w:bCs w:val="false"/>
          <w:i w:val="false"/>
          <w:iCs w:val="false"/>
          <w:color w:val="000000"/>
          <w:sz w:val="20"/>
          <w:szCs w:val="20"/>
        </w:rPr>
        <w:t xml:space="preserve">Tercera. La brecha más crítica identificada en todo el proyecto no es tecnológica sino de gobierno: la ausencia de un Comité de Gobierno de TI formalmente institucionalizado bajo COBIT 2019 en el BCRP. Esta carencia explica, de manera transversal, por qué procesos tan distintos entre sí como la gestión de riesgos, la seguridad y el cumplimiento normativo comparten el mismo nivel de madurez bajo (Nivel 1 o 2) detectado en el diagnóstico.</w:t>
      </w:r>
    </w:p>
    <w:p>
      <w:pPr>
        <w:spacing w:after="60" w:before="60"/>
      </w:pPr>
      <w:r>
        <w:rPr>
          <w:rFonts w:ascii="Arial" w:cs="Arial" w:eastAsia="Arial" w:hAnsi="Arial"/>
          <w:b w:val="false"/>
          <w:bCs w:val="false"/>
          <w:i w:val="false"/>
          <w:iCs w:val="false"/>
          <w:color w:val="000000"/>
          <w:sz w:val="20"/>
          <w:szCs w:val="20"/>
        </w:rPr>
        <w:t xml:space="preserve">Cuarta. El diseño desarrollado en este proyecto deja al BCRP en condiciones de pasar a la siguiente fase del ciclo de vida de COBIT 2019: la implementación. El Sistema de Gobierno de TI propuesto está documentado, priorizado y validado con evidencia institucional cruzada entre dos herramientas oficiales del marco.</w:t>
      </w:r>
    </w:p>
    <w:p>
      <w:pPr>
        <w:pBdr>
          <w:bottom w:val="single" w:color="2E75B6" w:sz="6"/>
        </w:pBdr>
        <w:spacing w:after="120" w:before="120"/>
      </w:pPr>
      <w:r>
        <w:t xml:space="preserve"/>
      </w:r>
    </w:p>
    <w:p>
      <w:pPr>
        <w:shd w:fill="1F3864" w:val="clear"/>
        <w:spacing w:after="160" w:before="320"/>
      </w:pPr>
      <w:r>
        <w:rPr>
          <w:rFonts w:ascii="Arial" w:cs="Arial" w:eastAsia="Arial" w:hAnsi="Arial"/>
          <w:b/>
          <w:bCs/>
          <w:color w:val="FFFFFF"/>
          <w:sz w:val="28"/>
          <w:szCs w:val="28"/>
        </w:rPr>
        <w:t xml:space="preserve">REFERENCIAS</w:t>
      </w:r>
    </w:p>
    <w:p>
      <w:pPr>
        <w:spacing w:after="0" w:before="120"/>
        <w:ind w:left="360" w:hanging="360"/>
      </w:pPr>
      <w:r>
        <w:rPr>
          <w:rFonts w:ascii="Arial" w:cs="Arial" w:eastAsia="Arial" w:hAnsi="Arial"/>
          <w:sz w:val="20"/>
          <w:szCs w:val="20"/>
        </w:rPr>
        <w:t xml:space="preserve">Banco Central de Reserva del Perú. (2022). Plan Estratégico del BCRP 2022-2026. Lima, Perú: BCRP.</w:t>
      </w:r>
    </w:p>
    <w:p>
      <w:pPr>
        <w:spacing w:after="0" w:before="120"/>
        <w:ind w:left="360" w:hanging="360"/>
      </w:pPr>
      <w:r>
        <w:rPr>
          <w:rFonts w:ascii="Arial" w:cs="Arial" w:eastAsia="Arial" w:hAnsi="Arial"/>
          <w:sz w:val="20"/>
          <w:szCs w:val="20"/>
        </w:rPr>
        <w:t xml:space="preserve">Banco Central de Reserva del Perú. (2022). Plan Estratégico de Tecnologías de Información (PETI) 2022-2026. Lima, Perú: Gerencia de Tecnologías de Información, BCRP.</w:t>
      </w:r>
    </w:p>
    <w:p>
      <w:pPr>
        <w:spacing w:after="0" w:before="120"/>
        <w:ind w:left="360" w:hanging="360"/>
      </w:pPr>
      <w:r>
        <w:rPr>
          <w:rFonts w:ascii="Arial" w:cs="Arial" w:eastAsia="Arial" w:hAnsi="Arial"/>
          <w:sz w:val="20"/>
          <w:szCs w:val="20"/>
        </w:rPr>
        <w:t xml:space="preserve">Constitución Política del Perú. (1993). Artículo 84°. Congreso de la República del Perú.</w:t>
      </w:r>
    </w:p>
    <w:p>
      <w:pPr>
        <w:spacing w:after="0" w:before="120"/>
        <w:ind w:left="360" w:hanging="360"/>
      </w:pPr>
      <w:r>
        <w:rPr>
          <w:rFonts w:ascii="Arial" w:cs="Arial" w:eastAsia="Arial" w:hAnsi="Arial"/>
          <w:sz w:val="20"/>
          <w:szCs w:val="20"/>
        </w:rPr>
        <w:t xml:space="preserve">ISACA. (2018). COBIT® 2019: Marco de Referencia, Gobernanza y Objetivos de Gestión. Schaumburg, Illinois, Estados Unidos: ISACA.</w:t>
      </w:r>
    </w:p>
    <w:p>
      <w:pPr>
        <w:spacing w:after="0" w:before="120"/>
        <w:ind w:left="360" w:hanging="360"/>
      </w:pPr>
      <w:r>
        <w:rPr>
          <w:rFonts w:ascii="Arial" w:cs="Arial" w:eastAsia="Arial" w:hAnsi="Arial"/>
          <w:sz w:val="20"/>
          <w:szCs w:val="20"/>
        </w:rPr>
        <w:t xml:space="preserve">ISACA. (2018). COBIT® 2019 Design Guide: Designing an Information and Technology Governance Solution. Schaumburg, Illinois, Estados Unidos: ISACA.</w:t>
      </w:r>
    </w:p>
    <w:p>
      <w:pPr>
        <w:spacing w:after="0" w:before="120"/>
        <w:ind w:left="360" w:hanging="360"/>
      </w:pPr>
      <w:r>
        <w:rPr>
          <w:rFonts w:ascii="Arial" w:cs="Arial" w:eastAsia="Arial" w:hAnsi="Arial"/>
          <w:sz w:val="20"/>
          <w:szCs w:val="20"/>
        </w:rPr>
        <w:t xml:space="preserve">ISACA. (2018). Kit de Herramientas de Diseño del Sistema de Gobierno COBIT® 2019 [Archivo de hoja de cálculo]. ISACA.</w:t>
      </w:r>
    </w:p>
    <w:p>
      <w:pPr>
        <w:spacing w:after="0" w:before="120"/>
        <w:ind w:left="360" w:hanging="360"/>
      </w:pPr>
      <w:r>
        <w:rPr>
          <w:rFonts w:ascii="Arial" w:cs="Arial" w:eastAsia="Arial" w:hAnsi="Arial"/>
          <w:sz w:val="20"/>
          <w:szCs w:val="20"/>
        </w:rPr>
        <w:t xml:space="preserve">Sociedad de Telecomunicaciones Financieras Interbancarias Mundiales (SWIFT). (2022). Customer Security Programme (CSP) — Marco de Control de Seguridad.</w:t>
      </w:r>
    </w:p>
    <w:p>
      <w:pPr>
        <w:spacing w:after="0" w:before="120"/>
        <w:ind w:left="360" w:hanging="360"/>
      </w:pPr>
      <w:r>
        <w:rPr>
          <w:rFonts w:ascii="Arial" w:cs="Arial" w:eastAsia="Arial" w:hAnsi="Arial"/>
          <w:sz w:val="20"/>
          <w:szCs w:val="20"/>
        </w:rPr>
        <w:t xml:space="preserve">Organización Internacional de Normalización. (2022). ISO/IEC 27001:2022 — Tecnología de la información, técnicas de seguridad, sistemas de gestión de seguridad de la información.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f4aba25e667052db4360c1d9cc44427770a1b7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2026-06-18T08:09:53.834Z</dcterms:created>
  <dcterms:modified xsi:type="dcterms:W3CDTF">2026-06-18T08:09:53.834Z</dcterms:modified>
</cp:coreProperties>
</file>

<file path=docProps/custom.xml><?xml version="1.0" encoding="utf-8"?>
<Properties xmlns="http://schemas.openxmlformats.org/officeDocument/2006/custom-properties" xmlns:vt="http://schemas.openxmlformats.org/officeDocument/2006/docPropsVTypes"/>
</file>