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FFA8" w14:textId="0EE001F3" w:rsidR="009F5B7B" w:rsidRPr="00385DA4" w:rsidRDefault="00000000">
      <w:pPr>
        <w:pStyle w:val="Ttulo1"/>
        <w:rPr>
          <w:rFonts w:ascii="Times New Roman" w:hAnsi="Times New Roman" w:cs="Times New Roman"/>
          <w:i/>
          <w:iCs/>
          <w:color w:val="000000" w:themeColor="text1"/>
          <w:sz w:val="48"/>
          <w:szCs w:val="48"/>
          <w:u w:val="single"/>
        </w:rPr>
      </w:pPr>
      <w:bookmarkStart w:id="0" w:name="X74ba1b17605dd858f58df88f4c0d1a1ff064095"/>
      <w:proofErr w:type="spellStart"/>
      <w:r w:rsidRPr="00385DA4">
        <w:rPr>
          <w:rFonts w:ascii="Times New Roman" w:hAnsi="Times New Roman" w:cs="Times New Roman"/>
          <w:i/>
          <w:iCs/>
          <w:color w:val="000000" w:themeColor="text1"/>
          <w:sz w:val="48"/>
          <w:szCs w:val="48"/>
          <w:u w:val="single"/>
        </w:rPr>
        <w:t>Relatório</w:t>
      </w:r>
      <w:proofErr w:type="spellEnd"/>
      <w:r w:rsidRPr="00385DA4">
        <w:rPr>
          <w:rFonts w:ascii="Times New Roman" w:hAnsi="Times New Roman" w:cs="Times New Roman"/>
          <w:i/>
          <w:iCs/>
          <w:color w:val="000000" w:themeColor="text1"/>
          <w:sz w:val="48"/>
          <w:szCs w:val="48"/>
          <w:u w:val="single"/>
        </w:rPr>
        <w:t xml:space="preserve"> de </w:t>
      </w:r>
      <w:proofErr w:type="spellStart"/>
      <w:r w:rsidRPr="00385DA4">
        <w:rPr>
          <w:rFonts w:ascii="Times New Roman" w:hAnsi="Times New Roman" w:cs="Times New Roman"/>
          <w:i/>
          <w:iCs/>
          <w:color w:val="000000" w:themeColor="text1"/>
          <w:sz w:val="48"/>
          <w:szCs w:val="48"/>
          <w:u w:val="single"/>
        </w:rPr>
        <w:t>Análise</w:t>
      </w:r>
      <w:proofErr w:type="spellEnd"/>
      <w:r w:rsidRPr="00385DA4">
        <w:rPr>
          <w:rFonts w:ascii="Times New Roman" w:hAnsi="Times New Roman" w:cs="Times New Roman"/>
          <w:i/>
          <w:iCs/>
          <w:color w:val="000000" w:themeColor="text1"/>
          <w:sz w:val="48"/>
          <w:szCs w:val="48"/>
          <w:u w:val="single"/>
        </w:rPr>
        <w:t xml:space="preserve"> de </w:t>
      </w:r>
      <w:proofErr w:type="spellStart"/>
      <w:r w:rsidRPr="00385DA4">
        <w:rPr>
          <w:rFonts w:ascii="Times New Roman" w:hAnsi="Times New Roman" w:cs="Times New Roman"/>
          <w:i/>
          <w:iCs/>
          <w:color w:val="000000" w:themeColor="text1"/>
          <w:sz w:val="48"/>
          <w:szCs w:val="48"/>
          <w:u w:val="single"/>
        </w:rPr>
        <w:t>Ações</w:t>
      </w:r>
      <w:proofErr w:type="spellEnd"/>
    </w:p>
    <w:p w14:paraId="3E35E753" w14:textId="77777777" w:rsidR="00385DA4" w:rsidRPr="00385DA4" w:rsidRDefault="00000000">
      <w:pPr>
        <w:pStyle w:val="FirstParagraph"/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Preparado para:</w:t>
      </w:r>
      <w:r w:rsidRPr="00385DA4">
        <w:rPr>
          <w:rFonts w:ascii="Times New Roman" w:hAnsi="Times New Roman" w:cs="Times New Roman"/>
        </w:rPr>
        <w:t xml:space="preserve"> </w:t>
      </w:r>
      <w:proofErr w:type="spellStart"/>
      <w:r w:rsidR="00385DA4" w:rsidRPr="00385DA4">
        <w:rPr>
          <w:rFonts w:ascii="Times New Roman" w:hAnsi="Times New Roman" w:cs="Times New Roman"/>
        </w:rPr>
        <w:t>Estudo</w:t>
      </w:r>
      <w:proofErr w:type="spellEnd"/>
      <w:r w:rsidR="00385DA4" w:rsidRPr="00385DA4">
        <w:rPr>
          <w:rFonts w:ascii="Times New Roman" w:hAnsi="Times New Roman" w:cs="Times New Roman"/>
        </w:rPr>
        <w:t xml:space="preserve"> de </w:t>
      </w:r>
      <w:proofErr w:type="spellStart"/>
      <w:r w:rsidR="00385DA4" w:rsidRPr="00385DA4">
        <w:rPr>
          <w:rFonts w:ascii="Times New Roman" w:hAnsi="Times New Roman" w:cs="Times New Roman"/>
        </w:rPr>
        <w:t>Análise</w:t>
      </w:r>
      <w:proofErr w:type="spellEnd"/>
      <w:r w:rsidR="00385DA4" w:rsidRPr="00385DA4">
        <w:rPr>
          <w:rFonts w:ascii="Times New Roman" w:hAnsi="Times New Roman" w:cs="Times New Roman"/>
        </w:rPr>
        <w:t xml:space="preserve"> de Dados </w:t>
      </w:r>
      <w:proofErr w:type="spellStart"/>
      <w:r w:rsidR="00385DA4" w:rsidRPr="00385DA4">
        <w:rPr>
          <w:rFonts w:ascii="Times New Roman" w:hAnsi="Times New Roman" w:cs="Times New Roman"/>
        </w:rPr>
        <w:t>aplicado</w:t>
      </w:r>
      <w:proofErr w:type="spellEnd"/>
      <w:r w:rsidR="00385DA4" w:rsidRPr="00385DA4">
        <w:rPr>
          <w:rFonts w:ascii="Times New Roman" w:hAnsi="Times New Roman" w:cs="Times New Roman"/>
        </w:rPr>
        <w:t xml:space="preserve"> a </w:t>
      </w:r>
      <w:proofErr w:type="spellStart"/>
      <w:r w:rsidR="00385DA4" w:rsidRPr="00385DA4">
        <w:rPr>
          <w:rFonts w:ascii="Times New Roman" w:hAnsi="Times New Roman" w:cs="Times New Roman"/>
        </w:rPr>
        <w:t>Finanças</w:t>
      </w:r>
      <w:proofErr w:type="spellEnd"/>
      <w:r w:rsidRPr="00385DA4">
        <w:rPr>
          <w:rFonts w:ascii="Times New Roman" w:hAnsi="Times New Roman" w:cs="Times New Roman"/>
        </w:rPr>
        <w:t xml:space="preserve"> </w:t>
      </w:r>
    </w:p>
    <w:p w14:paraId="48E9BF7A" w14:textId="4231B523" w:rsidR="00385DA4" w:rsidRPr="00385DA4" w:rsidRDefault="00000000">
      <w:pPr>
        <w:pStyle w:val="FirstParagraph"/>
        <w:rPr>
          <w:rFonts w:ascii="Times New Roman" w:hAnsi="Times New Roman" w:cs="Times New Roman"/>
        </w:rPr>
      </w:pPr>
      <w:proofErr w:type="spellStart"/>
      <w:r w:rsidRPr="00385DA4">
        <w:rPr>
          <w:rFonts w:ascii="Times New Roman" w:hAnsi="Times New Roman" w:cs="Times New Roman"/>
          <w:b/>
          <w:bCs/>
        </w:rPr>
        <w:t>Preparado</w:t>
      </w:r>
      <w:proofErr w:type="spellEnd"/>
      <w:r w:rsidRPr="00385D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5DA4">
        <w:rPr>
          <w:rFonts w:ascii="Times New Roman" w:hAnsi="Times New Roman" w:cs="Times New Roman"/>
          <w:b/>
          <w:bCs/>
        </w:rPr>
        <w:t>por</w:t>
      </w:r>
      <w:proofErr w:type="spellEnd"/>
      <w:r w:rsidRPr="00385DA4">
        <w:rPr>
          <w:rFonts w:ascii="Times New Roman" w:hAnsi="Times New Roman" w:cs="Times New Roman"/>
          <w:b/>
          <w:bCs/>
        </w:rPr>
        <w:t>:</w:t>
      </w:r>
      <w:r w:rsidRPr="00385DA4">
        <w:rPr>
          <w:rFonts w:ascii="Times New Roman" w:hAnsi="Times New Roman" w:cs="Times New Roman"/>
        </w:rPr>
        <w:t xml:space="preserve"> </w:t>
      </w:r>
      <w:r w:rsidR="00385DA4" w:rsidRPr="00385DA4">
        <w:rPr>
          <w:rFonts w:ascii="Times New Roman" w:hAnsi="Times New Roman" w:cs="Times New Roman"/>
        </w:rPr>
        <w:t>Alessandro Silva,</w:t>
      </w:r>
      <w:r w:rsidR="00385DA4">
        <w:rPr>
          <w:rFonts w:ascii="Times New Roman" w:hAnsi="Times New Roman" w:cs="Times New Roman"/>
        </w:rPr>
        <w:t xml:space="preserve"> </w:t>
      </w:r>
      <w:proofErr w:type="spellStart"/>
      <w:r w:rsidR="00385DA4">
        <w:rPr>
          <w:rFonts w:ascii="Times New Roman" w:hAnsi="Times New Roman" w:cs="Times New Roman"/>
        </w:rPr>
        <w:t>Estudante</w:t>
      </w:r>
      <w:proofErr w:type="spellEnd"/>
      <w:r w:rsidR="00385DA4">
        <w:rPr>
          <w:rFonts w:ascii="Times New Roman" w:hAnsi="Times New Roman" w:cs="Times New Roman"/>
        </w:rPr>
        <w:t xml:space="preserve"> CPRO-I</w:t>
      </w:r>
    </w:p>
    <w:p w14:paraId="72B6B65F" w14:textId="77777777" w:rsidR="009F5B7B" w:rsidRPr="00385DA4" w:rsidRDefault="00000000">
      <w:p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pict w14:anchorId="2C80CDD7">
          <v:rect id="_x0000_i1055" style="width:0;height:1.5pt" o:hralign="center" o:hrstd="t" o:hr="t"/>
        </w:pict>
      </w:r>
    </w:p>
    <w:p w14:paraId="667F6175" w14:textId="77777777" w:rsidR="009F5B7B" w:rsidRPr="00385DA4" w:rsidRDefault="00000000">
      <w:pPr>
        <w:pStyle w:val="Ttulo2"/>
        <w:rPr>
          <w:rFonts w:ascii="Times New Roman" w:hAnsi="Times New Roman" w:cs="Times New Roman"/>
          <w:i/>
          <w:iCs/>
          <w:color w:val="000000" w:themeColor="text1"/>
        </w:rPr>
      </w:pPr>
      <w:bookmarkStart w:id="1" w:name="sumário-executivo"/>
      <w:r w:rsidRPr="00385DA4">
        <w:rPr>
          <w:rFonts w:ascii="Times New Roman" w:hAnsi="Times New Roman" w:cs="Times New Roman"/>
          <w:i/>
          <w:iCs/>
          <w:color w:val="000000" w:themeColor="text1"/>
        </w:rPr>
        <w:t>1. Sumário Executivo</w:t>
      </w:r>
    </w:p>
    <w:p w14:paraId="3FCAA497" w14:textId="1F518AD2" w:rsidR="009F5B7B" w:rsidRPr="00385DA4" w:rsidRDefault="00000000">
      <w:pPr>
        <w:pStyle w:val="FirstParagraph"/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t>Este relatório analisa o comportamento de quatro ações da B3</w:t>
      </w:r>
      <w:r w:rsidR="00385DA4" w:rsidRPr="00385DA4">
        <w:rPr>
          <w:rFonts w:ascii="Times New Roman" w:hAnsi="Times New Roman" w:cs="Times New Roman"/>
        </w:rPr>
        <w:t>:</w:t>
      </w:r>
      <w:r w:rsidRPr="00385DA4">
        <w:rPr>
          <w:rFonts w:ascii="Times New Roman" w:hAnsi="Times New Roman" w:cs="Times New Roman"/>
        </w:rPr>
        <w:t xml:space="preserve"> </w:t>
      </w:r>
      <w:r w:rsidRPr="00385DA4">
        <w:rPr>
          <w:rFonts w:ascii="Times New Roman" w:hAnsi="Times New Roman" w:cs="Times New Roman"/>
          <w:b/>
          <w:bCs/>
        </w:rPr>
        <w:t>PETR4, VALE3, ITUB4 e WEGE3</w:t>
      </w:r>
      <w:r w:rsidRPr="00385DA4">
        <w:rPr>
          <w:rFonts w:ascii="Times New Roman" w:hAnsi="Times New Roman" w:cs="Times New Roman"/>
        </w:rPr>
        <w:t xml:space="preserve"> </w:t>
      </w:r>
      <w:proofErr w:type="spellStart"/>
      <w:r w:rsidRPr="00385DA4">
        <w:rPr>
          <w:rFonts w:ascii="Times New Roman" w:hAnsi="Times New Roman" w:cs="Times New Roman"/>
        </w:rPr>
        <w:t>nos</w:t>
      </w:r>
      <w:proofErr w:type="spellEnd"/>
      <w:r w:rsidRPr="00385DA4">
        <w:rPr>
          <w:rFonts w:ascii="Times New Roman" w:hAnsi="Times New Roman" w:cs="Times New Roman"/>
        </w:rPr>
        <w:t xml:space="preserve"> últimos 12 meses, com o objetivo de subsidiar a decisão de alocação de um novo </w:t>
      </w:r>
      <w:proofErr w:type="spellStart"/>
      <w:r w:rsidRPr="00385DA4">
        <w:rPr>
          <w:rFonts w:ascii="Times New Roman" w:hAnsi="Times New Roman" w:cs="Times New Roman"/>
        </w:rPr>
        <w:t>aport</w:t>
      </w:r>
      <w:r w:rsidR="00385DA4" w:rsidRPr="00385DA4">
        <w:rPr>
          <w:rFonts w:ascii="Times New Roman" w:hAnsi="Times New Roman" w:cs="Times New Roman"/>
        </w:rPr>
        <w:t>e</w:t>
      </w:r>
      <w:proofErr w:type="spellEnd"/>
      <w:r w:rsidRPr="00385DA4">
        <w:rPr>
          <w:rFonts w:ascii="Times New Roman" w:hAnsi="Times New Roman" w:cs="Times New Roman"/>
        </w:rPr>
        <w:t>.</w:t>
      </w:r>
    </w:p>
    <w:p w14:paraId="5C18FB96" w14:textId="77777777" w:rsidR="009F5B7B" w:rsidRPr="00385DA4" w:rsidRDefault="00000000">
      <w:pPr>
        <w:pStyle w:val="Corpodetexto"/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Principais conclusões:</w:t>
      </w:r>
    </w:p>
    <w:p w14:paraId="45789550" w14:textId="77777777" w:rsidR="009F5B7B" w:rsidRPr="00385D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PETR4 e VALE3</w:t>
      </w:r>
      <w:r w:rsidRPr="00385DA4">
        <w:rPr>
          <w:rFonts w:ascii="Times New Roman" w:hAnsi="Times New Roman" w:cs="Times New Roman"/>
        </w:rPr>
        <w:t xml:space="preserve"> empataram como os ativos de melhor desempenho no período (+49,5% cada), com o melhor retorno ajustado ao risco (Sharpe = 1,18).</w:t>
      </w:r>
    </w:p>
    <w:p w14:paraId="3E050683" w14:textId="77777777" w:rsidR="009F5B7B" w:rsidRPr="00385D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ITUB4</w:t>
      </w:r>
      <w:r w:rsidRPr="00385DA4">
        <w:rPr>
          <w:rFonts w:ascii="Times New Roman" w:hAnsi="Times New Roman" w:cs="Times New Roman"/>
        </w:rPr>
        <w:t xml:space="preserve"> teve o menor risco individual (23,6%), mas também o menor retorno (+22,0%) e o menor Sharpe Ratio (0,38) do grupo.</w:t>
      </w:r>
    </w:p>
    <w:p w14:paraId="61D7B15F" w14:textId="77777777" w:rsidR="009F5B7B" w:rsidRPr="00385D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t>A diferença de risco entre PETR4/VALE3 e ITUB4 é pequena (~2 p.p.), tanto na volatilidade média quanto no pior dia isolado do período.</w:t>
      </w:r>
    </w:p>
    <w:p w14:paraId="2ABC64ED" w14:textId="77777777" w:rsidR="009F5B7B" w:rsidRPr="00385D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PETR4 e VALE3 têm correlação praticamente nula entre si (-0,05)</w:t>
      </w:r>
      <w:r w:rsidRPr="00385DA4">
        <w:rPr>
          <w:rFonts w:ascii="Times New Roman" w:hAnsi="Times New Roman" w:cs="Times New Roman"/>
        </w:rPr>
        <w:t xml:space="preserve"> — apesar do desempenho parecido, se movem de forma independente, o que reforça o benefício de combinar as duas.</w:t>
      </w:r>
    </w:p>
    <w:p w14:paraId="1878A2A7" w14:textId="77777777" w:rsidR="009F5B7B" w:rsidRPr="00385DA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ITUB4 é o ativo mais correlacionado ao Ibovespa (0,86)</w:t>
      </w:r>
      <w:r w:rsidRPr="00385DA4">
        <w:rPr>
          <w:rFonts w:ascii="Times New Roman" w:hAnsi="Times New Roman" w:cs="Times New Roman"/>
        </w:rPr>
        <w:t xml:space="preserve"> — seu comportamento reflete de perto o mercado como um todo.</w:t>
      </w:r>
    </w:p>
    <w:p w14:paraId="6704B03D" w14:textId="604534FF" w:rsidR="009F5B7B" w:rsidRPr="00385DA4" w:rsidRDefault="00000000">
      <w:pPr>
        <w:pStyle w:val="FirstParagraph"/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Recomendação para posição conservadora:</w:t>
      </w:r>
      <w:r w:rsidRPr="00385DA4">
        <w:rPr>
          <w:rFonts w:ascii="Times New Roman" w:hAnsi="Times New Roman" w:cs="Times New Roman"/>
        </w:rPr>
        <w:t xml:space="preserve"> </w:t>
      </w:r>
      <w:r w:rsidR="00385DA4">
        <w:rPr>
          <w:rFonts w:ascii="Times New Roman" w:hAnsi="Times New Roman" w:cs="Times New Roman"/>
        </w:rPr>
        <w:t>A</w:t>
      </w:r>
      <w:r w:rsidRPr="00385DA4">
        <w:rPr>
          <w:rFonts w:ascii="Times New Roman" w:hAnsi="Times New Roman" w:cs="Times New Roman"/>
        </w:rPr>
        <w:t xml:space="preserve"> leitura dos últimos 12 meses sustenta </w:t>
      </w:r>
      <w:r w:rsidRPr="00385DA4">
        <w:rPr>
          <w:rFonts w:ascii="Times New Roman" w:hAnsi="Times New Roman" w:cs="Times New Roman"/>
          <w:b/>
          <w:bCs/>
        </w:rPr>
        <w:t>PETR4 e VALE3</w:t>
      </w:r>
      <w:r w:rsidRPr="00385DA4">
        <w:rPr>
          <w:rFonts w:ascii="Times New Roman" w:hAnsi="Times New Roman" w:cs="Times New Roman"/>
        </w:rPr>
        <w:t xml:space="preserve"> como a melhor </w:t>
      </w:r>
      <w:proofErr w:type="spellStart"/>
      <w:r w:rsidRPr="00385DA4">
        <w:rPr>
          <w:rFonts w:ascii="Times New Roman" w:hAnsi="Times New Roman" w:cs="Times New Roman"/>
        </w:rPr>
        <w:t>escolha</w:t>
      </w:r>
      <w:proofErr w:type="spellEnd"/>
      <w:r w:rsidR="00385DA4">
        <w:rPr>
          <w:rFonts w:ascii="Times New Roman" w:hAnsi="Times New Roman" w:cs="Times New Roman"/>
        </w:rPr>
        <w:t>.</w:t>
      </w:r>
      <w:r w:rsidRPr="00385DA4">
        <w:rPr>
          <w:rFonts w:ascii="Times New Roman" w:hAnsi="Times New Roman" w:cs="Times New Roman"/>
        </w:rPr>
        <w:t xml:space="preserve"> </w:t>
      </w:r>
      <w:r w:rsidR="00385DA4">
        <w:rPr>
          <w:rFonts w:ascii="Times New Roman" w:hAnsi="Times New Roman" w:cs="Times New Roman"/>
        </w:rPr>
        <w:t>O</w:t>
      </w:r>
      <w:r w:rsidRPr="00385DA4">
        <w:rPr>
          <w:rFonts w:ascii="Times New Roman" w:hAnsi="Times New Roman" w:cs="Times New Roman"/>
        </w:rPr>
        <w:t xml:space="preserve"> </w:t>
      </w:r>
      <w:proofErr w:type="spellStart"/>
      <w:r w:rsidRPr="00385DA4">
        <w:rPr>
          <w:rFonts w:ascii="Times New Roman" w:hAnsi="Times New Roman" w:cs="Times New Roman"/>
        </w:rPr>
        <w:t>retorno</w:t>
      </w:r>
      <w:proofErr w:type="spellEnd"/>
      <w:r w:rsidRPr="00385DA4">
        <w:rPr>
          <w:rFonts w:ascii="Times New Roman" w:hAnsi="Times New Roman" w:cs="Times New Roman"/>
        </w:rPr>
        <w:t xml:space="preserve"> superior </w:t>
      </w:r>
      <w:proofErr w:type="spellStart"/>
      <w:r w:rsidRPr="00385DA4">
        <w:rPr>
          <w:rFonts w:ascii="Times New Roman" w:hAnsi="Times New Roman" w:cs="Times New Roman"/>
        </w:rPr>
        <w:t>compensa</w:t>
      </w:r>
      <w:proofErr w:type="spellEnd"/>
      <w:r w:rsidRPr="00385DA4">
        <w:rPr>
          <w:rFonts w:ascii="Times New Roman" w:hAnsi="Times New Roman" w:cs="Times New Roman"/>
        </w:rPr>
        <w:t xml:space="preserve"> a diferença de risco, que se mostrou pequena nesta janela.</w:t>
      </w:r>
    </w:p>
    <w:p w14:paraId="39EA109E" w14:textId="77777777" w:rsidR="009F5B7B" w:rsidRPr="00385DA4" w:rsidRDefault="00000000">
      <w:p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pict w14:anchorId="646572F7">
          <v:rect id="_x0000_i1056" style="width:0;height:1.5pt" o:hralign="center" o:hrstd="t" o:hr="t"/>
        </w:pict>
      </w:r>
    </w:p>
    <w:p w14:paraId="638C4BEC" w14:textId="77777777" w:rsidR="009F5B7B" w:rsidRPr="00385DA4" w:rsidRDefault="00000000">
      <w:pPr>
        <w:pStyle w:val="Ttulo2"/>
        <w:rPr>
          <w:rFonts w:ascii="Times New Roman" w:hAnsi="Times New Roman" w:cs="Times New Roman"/>
          <w:i/>
          <w:iCs/>
          <w:color w:val="000000" w:themeColor="text1"/>
        </w:rPr>
      </w:pPr>
      <w:bookmarkStart w:id="2" w:name="metodologia"/>
      <w:bookmarkEnd w:id="1"/>
      <w:r w:rsidRPr="00385DA4">
        <w:rPr>
          <w:rFonts w:ascii="Times New Roman" w:hAnsi="Times New Roman" w:cs="Times New Roman"/>
          <w:i/>
          <w:iCs/>
          <w:color w:val="000000" w:themeColor="text1"/>
        </w:rPr>
        <w:t>2. Metodologia</w:t>
      </w:r>
    </w:p>
    <w:p w14:paraId="1849845D" w14:textId="77777777" w:rsidR="009F5B7B" w:rsidRPr="00385DA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Fonte:</w:t>
      </w:r>
      <w:r w:rsidRPr="00385DA4">
        <w:rPr>
          <w:rFonts w:ascii="Times New Roman" w:hAnsi="Times New Roman" w:cs="Times New Roman"/>
        </w:rPr>
        <w:t xml:space="preserve"> Yahoo Finance (</w:t>
      </w:r>
      <w:r w:rsidRPr="00385DA4">
        <w:rPr>
          <w:rStyle w:val="VerbatimChar"/>
          <w:rFonts w:ascii="Times New Roman" w:hAnsi="Times New Roman" w:cs="Times New Roman"/>
        </w:rPr>
        <w:t>yfinance</w:t>
      </w:r>
      <w:r w:rsidRPr="00385DA4">
        <w:rPr>
          <w:rFonts w:ascii="Times New Roman" w:hAnsi="Times New Roman" w:cs="Times New Roman"/>
        </w:rPr>
        <w:t>)</w:t>
      </w:r>
    </w:p>
    <w:p w14:paraId="57679F47" w14:textId="77777777" w:rsidR="009F5B7B" w:rsidRPr="00385DA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Ativos:</w:t>
      </w:r>
      <w:r w:rsidRPr="00385DA4">
        <w:rPr>
          <w:rFonts w:ascii="Times New Roman" w:hAnsi="Times New Roman" w:cs="Times New Roman"/>
        </w:rPr>
        <w:t xml:space="preserve"> PETR4.SA, VALE3.SA, ITUB4.SA, WEGE3.SA; benchmark: Ibovespa (^BVSP)</w:t>
      </w:r>
    </w:p>
    <w:p w14:paraId="3D56492D" w14:textId="77777777" w:rsidR="009F5B7B" w:rsidRPr="00385DA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Período:</w:t>
      </w:r>
      <w:r w:rsidRPr="00385DA4">
        <w:rPr>
          <w:rFonts w:ascii="Times New Roman" w:hAnsi="Times New Roman" w:cs="Times New Roman"/>
        </w:rPr>
        <w:t xml:space="preserve"> últimos 365 dias corridos, calculado dinamicamente a partir da data de execução</w:t>
      </w:r>
    </w:p>
    <w:p w14:paraId="324209C8" w14:textId="77777777" w:rsidR="009F5B7B" w:rsidRPr="00385DA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Taxa livre de risco:</w:t>
      </w:r>
      <w:r w:rsidRPr="00385DA4">
        <w:rPr>
          <w:rFonts w:ascii="Times New Roman" w:hAnsi="Times New Roman" w:cs="Times New Roman"/>
        </w:rPr>
        <w:t xml:space="preserve"> 14% a.a. (Selic vigente em agosto/2026)</w:t>
      </w:r>
    </w:p>
    <w:p w14:paraId="2A7E0D9B" w14:textId="77777777" w:rsidR="009F5B7B" w:rsidRPr="00385DA4" w:rsidRDefault="00000000">
      <w:p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pict w14:anchorId="22F860F9">
          <v:rect id="_x0000_i1057" style="width:0;height:1.5pt" o:hralign="center" o:hrstd="t" o:hr="t"/>
        </w:pict>
      </w:r>
    </w:p>
    <w:p w14:paraId="40DCC5E1" w14:textId="77777777" w:rsidR="009F5B7B" w:rsidRPr="00385DA4" w:rsidRDefault="00000000">
      <w:pPr>
        <w:pStyle w:val="Ttulo2"/>
        <w:rPr>
          <w:rFonts w:ascii="Times New Roman" w:hAnsi="Times New Roman" w:cs="Times New Roman"/>
          <w:i/>
          <w:iCs/>
          <w:color w:val="000000" w:themeColor="text1"/>
        </w:rPr>
      </w:pPr>
      <w:bookmarkStart w:id="3" w:name="resultados"/>
      <w:bookmarkEnd w:id="2"/>
      <w:r w:rsidRPr="00385DA4">
        <w:rPr>
          <w:rFonts w:ascii="Times New Roman" w:hAnsi="Times New Roman" w:cs="Times New Roman"/>
          <w:i/>
          <w:iCs/>
          <w:color w:val="000000" w:themeColor="text1"/>
        </w:rPr>
        <w:lastRenderedPageBreak/>
        <w:t>3. Resultados</w:t>
      </w:r>
    </w:p>
    <w:p w14:paraId="70A02905" w14:textId="77777777" w:rsidR="009F5B7B" w:rsidRPr="00385DA4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4" w:name="retorno-e-risco"/>
      <w:r w:rsidRPr="00385DA4">
        <w:rPr>
          <w:rFonts w:ascii="Times New Roman" w:hAnsi="Times New Roman" w:cs="Times New Roman"/>
          <w:color w:val="000000" w:themeColor="text1"/>
        </w:rPr>
        <w:t>3.1 Retorno e Risco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3"/>
        <w:gridCol w:w="2169"/>
        <w:gridCol w:w="1843"/>
        <w:gridCol w:w="970"/>
      </w:tblGrid>
      <w:tr w:rsidR="009F5B7B" w:rsidRPr="00385DA4" w14:paraId="21F321FA" w14:textId="77777777" w:rsidTr="009F5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528E51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Ativo</w:t>
            </w:r>
          </w:p>
        </w:tc>
        <w:tc>
          <w:tcPr>
            <w:tcW w:w="0" w:type="auto"/>
          </w:tcPr>
          <w:p w14:paraId="392A89AD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Retorno Acumulado</w:t>
            </w:r>
          </w:p>
        </w:tc>
        <w:tc>
          <w:tcPr>
            <w:tcW w:w="0" w:type="auto"/>
          </w:tcPr>
          <w:p w14:paraId="2FF079EE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Risco (std anual)</w:t>
            </w:r>
          </w:p>
        </w:tc>
        <w:tc>
          <w:tcPr>
            <w:tcW w:w="0" w:type="auto"/>
          </w:tcPr>
          <w:p w14:paraId="37826F43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Pior dia</w:t>
            </w:r>
          </w:p>
        </w:tc>
      </w:tr>
      <w:tr w:rsidR="009F5B7B" w:rsidRPr="00385DA4" w14:paraId="0E43DC13" w14:textId="77777777">
        <w:tc>
          <w:tcPr>
            <w:tcW w:w="0" w:type="auto"/>
          </w:tcPr>
          <w:p w14:paraId="076B35FC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  <w:b/>
                <w:bCs/>
              </w:rPr>
              <w:t>PETR4</w:t>
            </w:r>
          </w:p>
        </w:tc>
        <w:tc>
          <w:tcPr>
            <w:tcW w:w="0" w:type="auto"/>
          </w:tcPr>
          <w:p w14:paraId="3702C6EF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  <w:b/>
                <w:bCs/>
              </w:rPr>
              <w:t>+49,5%</w:t>
            </w:r>
          </w:p>
        </w:tc>
        <w:tc>
          <w:tcPr>
            <w:tcW w:w="0" w:type="auto"/>
          </w:tcPr>
          <w:p w14:paraId="0096961F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25,3%</w:t>
            </w:r>
          </w:p>
        </w:tc>
        <w:tc>
          <w:tcPr>
            <w:tcW w:w="0" w:type="auto"/>
          </w:tcPr>
          <w:p w14:paraId="2C09C7D4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-5,15%</w:t>
            </w:r>
          </w:p>
        </w:tc>
      </w:tr>
      <w:tr w:rsidR="009F5B7B" w:rsidRPr="00385DA4" w14:paraId="26E68A21" w14:textId="77777777">
        <w:tc>
          <w:tcPr>
            <w:tcW w:w="0" w:type="auto"/>
          </w:tcPr>
          <w:p w14:paraId="5C5E6B87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  <w:b/>
                <w:bCs/>
              </w:rPr>
              <w:t>VALE3</w:t>
            </w:r>
          </w:p>
        </w:tc>
        <w:tc>
          <w:tcPr>
            <w:tcW w:w="0" w:type="auto"/>
          </w:tcPr>
          <w:p w14:paraId="2D4FF917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  <w:b/>
                <w:bCs/>
              </w:rPr>
              <w:t>+49,5%</w:t>
            </w:r>
          </w:p>
        </w:tc>
        <w:tc>
          <w:tcPr>
            <w:tcW w:w="0" w:type="auto"/>
          </w:tcPr>
          <w:p w14:paraId="7013BDD2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25,3%</w:t>
            </w:r>
          </w:p>
        </w:tc>
        <w:tc>
          <w:tcPr>
            <w:tcW w:w="0" w:type="auto"/>
          </w:tcPr>
          <w:p w14:paraId="406612A8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-5,87%</w:t>
            </w:r>
          </w:p>
        </w:tc>
      </w:tr>
      <w:tr w:rsidR="009F5B7B" w:rsidRPr="00385DA4" w14:paraId="4418BBEA" w14:textId="77777777">
        <w:tc>
          <w:tcPr>
            <w:tcW w:w="0" w:type="auto"/>
          </w:tcPr>
          <w:p w14:paraId="754DD852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WEGE3</w:t>
            </w:r>
          </w:p>
        </w:tc>
        <w:tc>
          <w:tcPr>
            <w:tcW w:w="0" w:type="auto"/>
          </w:tcPr>
          <w:p w14:paraId="4670B4CE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+33,6%</w:t>
            </w:r>
          </w:p>
        </w:tc>
        <w:tc>
          <w:tcPr>
            <w:tcW w:w="0" w:type="auto"/>
          </w:tcPr>
          <w:p w14:paraId="6CD515C7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29,4%</w:t>
            </w:r>
          </w:p>
        </w:tc>
        <w:tc>
          <w:tcPr>
            <w:tcW w:w="0" w:type="auto"/>
          </w:tcPr>
          <w:p w14:paraId="45B1766B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-6,75%</w:t>
            </w:r>
          </w:p>
        </w:tc>
      </w:tr>
      <w:tr w:rsidR="009F5B7B" w:rsidRPr="00385DA4" w14:paraId="2DEF4B7C" w14:textId="77777777">
        <w:tc>
          <w:tcPr>
            <w:tcW w:w="0" w:type="auto"/>
          </w:tcPr>
          <w:p w14:paraId="03EDE012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Ibovespa</w:t>
            </w:r>
          </w:p>
        </w:tc>
        <w:tc>
          <w:tcPr>
            <w:tcW w:w="0" w:type="auto"/>
          </w:tcPr>
          <w:p w14:paraId="57B9C0C5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+27,0%</w:t>
            </w:r>
          </w:p>
        </w:tc>
        <w:tc>
          <w:tcPr>
            <w:tcW w:w="0" w:type="auto"/>
          </w:tcPr>
          <w:p w14:paraId="0C25222E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17,3%</w:t>
            </w:r>
          </w:p>
        </w:tc>
        <w:tc>
          <w:tcPr>
            <w:tcW w:w="0" w:type="auto"/>
          </w:tcPr>
          <w:p w14:paraId="079D05AC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-4,31%</w:t>
            </w:r>
          </w:p>
        </w:tc>
      </w:tr>
      <w:tr w:rsidR="009F5B7B" w:rsidRPr="00385DA4" w14:paraId="02F0D719" w14:textId="77777777">
        <w:tc>
          <w:tcPr>
            <w:tcW w:w="0" w:type="auto"/>
          </w:tcPr>
          <w:p w14:paraId="502FB022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ITUB4</w:t>
            </w:r>
          </w:p>
        </w:tc>
        <w:tc>
          <w:tcPr>
            <w:tcW w:w="0" w:type="auto"/>
          </w:tcPr>
          <w:p w14:paraId="5084EB42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+22,0%</w:t>
            </w:r>
          </w:p>
        </w:tc>
        <w:tc>
          <w:tcPr>
            <w:tcW w:w="0" w:type="auto"/>
          </w:tcPr>
          <w:p w14:paraId="164213D4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23,6%</w:t>
            </w:r>
          </w:p>
        </w:tc>
        <w:tc>
          <w:tcPr>
            <w:tcW w:w="0" w:type="auto"/>
          </w:tcPr>
          <w:p w14:paraId="7FFF5F1D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-4,62%</w:t>
            </w:r>
          </w:p>
        </w:tc>
      </w:tr>
    </w:tbl>
    <w:p w14:paraId="1BCDF5AE" w14:textId="16047F4A" w:rsidR="00385DA4" w:rsidRDefault="00385DA4">
      <w:pPr>
        <w:pStyle w:val="Corpodetex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EDCEC66" wp14:editId="3CFCED8E">
            <wp:simplePos x="0" y="0"/>
            <wp:positionH relativeFrom="column">
              <wp:posOffset>-3810</wp:posOffset>
            </wp:positionH>
            <wp:positionV relativeFrom="paragraph">
              <wp:posOffset>115570</wp:posOffset>
            </wp:positionV>
            <wp:extent cx="5612130" cy="3074035"/>
            <wp:effectExtent l="0" t="0" r="0" b="0"/>
            <wp:wrapTight wrapText="bothSides">
              <wp:wrapPolygon edited="0">
                <wp:start x="0" y="0"/>
                <wp:lineTo x="0" y="21417"/>
                <wp:lineTo x="21556" y="21417"/>
                <wp:lineTo x="21556" y="0"/>
                <wp:lineTo x="0" y="0"/>
              </wp:wrapPolygon>
            </wp:wrapTight>
            <wp:docPr id="1103999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9410" name="Imagem 11039994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3D7EB" w14:textId="1801E57F" w:rsidR="009F5B7B" w:rsidRPr="00385DA4" w:rsidRDefault="00000000">
      <w:pPr>
        <w:pStyle w:val="Corpodetexto"/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t xml:space="preserve">PETR4 e VALE3 </w:t>
      </w:r>
      <w:proofErr w:type="spellStart"/>
      <w:r w:rsidRPr="00385DA4">
        <w:rPr>
          <w:rFonts w:ascii="Times New Roman" w:hAnsi="Times New Roman" w:cs="Times New Roman"/>
        </w:rPr>
        <w:t>lideraram</w:t>
      </w:r>
      <w:proofErr w:type="spellEnd"/>
      <w:r w:rsidRPr="00385DA4">
        <w:rPr>
          <w:rFonts w:ascii="Times New Roman" w:hAnsi="Times New Roman" w:cs="Times New Roman"/>
        </w:rPr>
        <w:t xml:space="preserve"> com folga. A diferença de risco entre elas e a ITUB4 (a mais conservadora do grupo) é de apenas ~2 p.p. — tanto na volatilidade média quanto no pior dia isolado, o que é uma diferença pequena frente ao ganho de retorno.</w:t>
      </w:r>
    </w:p>
    <w:p w14:paraId="2B1F42B1" w14:textId="77777777" w:rsidR="009F5B7B" w:rsidRPr="00385DA4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5" w:name="correlação-entre-os-ativos"/>
      <w:bookmarkEnd w:id="4"/>
      <w:r w:rsidRPr="00385DA4">
        <w:rPr>
          <w:rFonts w:ascii="Times New Roman" w:hAnsi="Times New Roman" w:cs="Times New Roman"/>
          <w:color w:val="000000" w:themeColor="text1"/>
        </w:rPr>
        <w:lastRenderedPageBreak/>
        <w:t>3.2 Correlação entre os ativos</w:t>
      </w:r>
    </w:p>
    <w:p w14:paraId="694E3E7D" w14:textId="12FFF464" w:rsidR="009F5B7B" w:rsidRDefault="00385DA4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4F4B57" wp14:editId="56B370D8">
            <wp:extent cx="5612130" cy="4608830"/>
            <wp:effectExtent l="0" t="0" r="0" b="0"/>
            <wp:docPr id="9508059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05902" name="Imagem 9508059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D1D8" w14:textId="77777777" w:rsidR="00385DA4" w:rsidRPr="00385DA4" w:rsidRDefault="00385DA4" w:rsidP="00385DA4">
      <w:pPr>
        <w:pStyle w:val="Corpodetexto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2649"/>
      </w:tblGrid>
      <w:tr w:rsidR="009F5B7B" w:rsidRPr="00385DA4" w14:paraId="55CD837B" w14:textId="77777777" w:rsidTr="009F5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C03878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Par</w:t>
            </w:r>
          </w:p>
        </w:tc>
        <w:tc>
          <w:tcPr>
            <w:tcW w:w="0" w:type="auto"/>
          </w:tcPr>
          <w:p w14:paraId="5E43457C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Correlação</w:t>
            </w:r>
          </w:p>
        </w:tc>
      </w:tr>
      <w:tr w:rsidR="009F5B7B" w:rsidRPr="00385DA4" w14:paraId="39821CC4" w14:textId="77777777">
        <w:tc>
          <w:tcPr>
            <w:tcW w:w="0" w:type="auto"/>
          </w:tcPr>
          <w:p w14:paraId="4839F2EE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ITUB4 x Ibovespa</w:t>
            </w:r>
          </w:p>
        </w:tc>
        <w:tc>
          <w:tcPr>
            <w:tcW w:w="0" w:type="auto"/>
          </w:tcPr>
          <w:p w14:paraId="722967DA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  <w:b/>
                <w:bCs/>
              </w:rPr>
              <w:t>0,86</w:t>
            </w:r>
            <w:r w:rsidRPr="00385DA4">
              <w:rPr>
                <w:rFonts w:ascii="Times New Roman" w:hAnsi="Times New Roman" w:cs="Times New Roman"/>
              </w:rPr>
              <w:t xml:space="preserve"> (muito alta)</w:t>
            </w:r>
          </w:p>
        </w:tc>
      </w:tr>
      <w:tr w:rsidR="009F5B7B" w:rsidRPr="00385DA4" w14:paraId="6D9FFCD3" w14:textId="77777777">
        <w:tc>
          <w:tcPr>
            <w:tcW w:w="0" w:type="auto"/>
          </w:tcPr>
          <w:p w14:paraId="4F966DBC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VALE3 x Ibovespa</w:t>
            </w:r>
          </w:p>
        </w:tc>
        <w:tc>
          <w:tcPr>
            <w:tcW w:w="0" w:type="auto"/>
          </w:tcPr>
          <w:p w14:paraId="58FC99AA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0,56</w:t>
            </w:r>
          </w:p>
        </w:tc>
      </w:tr>
      <w:tr w:rsidR="009F5B7B" w:rsidRPr="00385DA4" w14:paraId="449BE556" w14:textId="77777777">
        <w:tc>
          <w:tcPr>
            <w:tcW w:w="0" w:type="auto"/>
          </w:tcPr>
          <w:p w14:paraId="2DB32456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WEGE3 x Ibovespa</w:t>
            </w:r>
          </w:p>
        </w:tc>
        <w:tc>
          <w:tcPr>
            <w:tcW w:w="0" w:type="auto"/>
          </w:tcPr>
          <w:p w14:paraId="4C85D07B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0,44</w:t>
            </w:r>
          </w:p>
        </w:tc>
      </w:tr>
      <w:tr w:rsidR="009F5B7B" w:rsidRPr="00385DA4" w14:paraId="60CCB8E4" w14:textId="77777777">
        <w:tc>
          <w:tcPr>
            <w:tcW w:w="0" w:type="auto"/>
          </w:tcPr>
          <w:p w14:paraId="2BB9E83D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PETR4 x Ibovespa</w:t>
            </w:r>
          </w:p>
        </w:tc>
        <w:tc>
          <w:tcPr>
            <w:tcW w:w="0" w:type="auto"/>
          </w:tcPr>
          <w:p w14:paraId="160F3764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0,25</w:t>
            </w:r>
          </w:p>
        </w:tc>
      </w:tr>
      <w:tr w:rsidR="009F5B7B" w:rsidRPr="00385DA4" w14:paraId="7B7267BE" w14:textId="77777777">
        <w:tc>
          <w:tcPr>
            <w:tcW w:w="0" w:type="auto"/>
          </w:tcPr>
          <w:p w14:paraId="28DDDA32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ITUB4 x VALE3</w:t>
            </w:r>
          </w:p>
        </w:tc>
        <w:tc>
          <w:tcPr>
            <w:tcW w:w="0" w:type="auto"/>
          </w:tcPr>
          <w:p w14:paraId="6208820F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0,39</w:t>
            </w:r>
          </w:p>
        </w:tc>
      </w:tr>
      <w:tr w:rsidR="009F5B7B" w:rsidRPr="00385DA4" w14:paraId="32DD1359" w14:textId="77777777">
        <w:tc>
          <w:tcPr>
            <w:tcW w:w="0" w:type="auto"/>
          </w:tcPr>
          <w:p w14:paraId="6F02CC3F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ITUB4 x WEGE3</w:t>
            </w:r>
          </w:p>
        </w:tc>
        <w:tc>
          <w:tcPr>
            <w:tcW w:w="0" w:type="auto"/>
          </w:tcPr>
          <w:p w14:paraId="59628033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0,36</w:t>
            </w:r>
          </w:p>
        </w:tc>
      </w:tr>
      <w:tr w:rsidR="009F5B7B" w:rsidRPr="00385DA4" w14:paraId="26295C36" w14:textId="77777777">
        <w:tc>
          <w:tcPr>
            <w:tcW w:w="0" w:type="auto"/>
          </w:tcPr>
          <w:p w14:paraId="663C099B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VALE3 x WEGE3</w:t>
            </w:r>
          </w:p>
        </w:tc>
        <w:tc>
          <w:tcPr>
            <w:tcW w:w="0" w:type="auto"/>
          </w:tcPr>
          <w:p w14:paraId="28497C11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0,29</w:t>
            </w:r>
          </w:p>
        </w:tc>
      </w:tr>
      <w:tr w:rsidR="009F5B7B" w:rsidRPr="00385DA4" w14:paraId="5F9C6AAC" w14:textId="77777777">
        <w:tc>
          <w:tcPr>
            <w:tcW w:w="0" w:type="auto"/>
          </w:tcPr>
          <w:p w14:paraId="1BC35AC3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ITUB4 x PETR4</w:t>
            </w:r>
          </w:p>
        </w:tc>
        <w:tc>
          <w:tcPr>
            <w:tcW w:w="0" w:type="auto"/>
          </w:tcPr>
          <w:p w14:paraId="307DA7D5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0,07</w:t>
            </w:r>
          </w:p>
        </w:tc>
      </w:tr>
      <w:tr w:rsidR="009F5B7B" w:rsidRPr="00385DA4" w14:paraId="15FFFDB1" w14:textId="77777777">
        <w:tc>
          <w:tcPr>
            <w:tcW w:w="0" w:type="auto"/>
          </w:tcPr>
          <w:p w14:paraId="0EB52F97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  <w:b/>
                <w:bCs/>
              </w:rPr>
              <w:t>PETR4 x VALE3</w:t>
            </w:r>
          </w:p>
        </w:tc>
        <w:tc>
          <w:tcPr>
            <w:tcW w:w="0" w:type="auto"/>
          </w:tcPr>
          <w:p w14:paraId="57EF64EF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  <w:b/>
                <w:bCs/>
              </w:rPr>
              <w:t>-0,05</w:t>
            </w:r>
            <w:r w:rsidRPr="00385DA4">
              <w:rPr>
                <w:rFonts w:ascii="Times New Roman" w:hAnsi="Times New Roman" w:cs="Times New Roman"/>
              </w:rPr>
              <w:t xml:space="preserve"> (praticamente nula)</w:t>
            </w:r>
          </w:p>
        </w:tc>
      </w:tr>
      <w:tr w:rsidR="009F5B7B" w:rsidRPr="00385DA4" w14:paraId="765FF248" w14:textId="77777777">
        <w:tc>
          <w:tcPr>
            <w:tcW w:w="0" w:type="auto"/>
          </w:tcPr>
          <w:p w14:paraId="18B4331D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PETR4 x WEGE3</w:t>
            </w:r>
          </w:p>
        </w:tc>
        <w:tc>
          <w:tcPr>
            <w:tcW w:w="0" w:type="auto"/>
          </w:tcPr>
          <w:p w14:paraId="5419A1C5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-0,06</w:t>
            </w:r>
          </w:p>
        </w:tc>
      </w:tr>
    </w:tbl>
    <w:p w14:paraId="59DEADB0" w14:textId="77777777" w:rsidR="009F5B7B" w:rsidRPr="00385DA4" w:rsidRDefault="00000000">
      <w:pPr>
        <w:pStyle w:val="Corpodetexto"/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t>Dois pontos se destacam:</w:t>
      </w:r>
    </w:p>
    <w:p w14:paraId="4EBA2AC1" w14:textId="77777777" w:rsidR="009F5B7B" w:rsidRPr="00385DA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lastRenderedPageBreak/>
        <w:t>ITUB4 está fortemente atrelada ao Ibovespa (0,86)</w:t>
      </w:r>
      <w:r w:rsidRPr="00385DA4">
        <w:rPr>
          <w:rFonts w:ascii="Times New Roman" w:hAnsi="Times New Roman" w:cs="Times New Roman"/>
        </w:rPr>
        <w:t xml:space="preserve"> — investir nela é, na prática, próximo de replicar o índice.</w:t>
      </w:r>
    </w:p>
    <w:p w14:paraId="57070494" w14:textId="77777777" w:rsidR="009F5B7B" w:rsidRPr="00385DA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PETR4 e VALE3 não se movem juntas</w:t>
      </w:r>
      <w:r w:rsidRPr="00385DA4">
        <w:rPr>
          <w:rFonts w:ascii="Times New Roman" w:hAnsi="Times New Roman" w:cs="Times New Roman"/>
        </w:rPr>
        <w:t xml:space="preserve"> (correlação de -0,05). Isso significa que, mesmo tendo entregue o mesmo retorno no período, elas foram impulsionadas por fatores diferentes — o que torna a combinação das duas mais robusta do que escolher qualquer uma isoladamente.</w:t>
      </w:r>
    </w:p>
    <w:p w14:paraId="43479322" w14:textId="77777777" w:rsidR="009F5B7B" w:rsidRPr="00385DA4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6" w:name="retorno-ajustado-ao-risco-sharpe-ratio"/>
      <w:bookmarkEnd w:id="5"/>
      <w:r w:rsidRPr="00385DA4">
        <w:rPr>
          <w:rFonts w:ascii="Times New Roman" w:hAnsi="Times New Roman" w:cs="Times New Roman"/>
          <w:color w:val="000000" w:themeColor="text1"/>
        </w:rPr>
        <w:t>3.3 Retorno ajustado ao risco (Sharpe Ratio)</w:t>
      </w:r>
    </w:p>
    <w:p w14:paraId="2B58C3C8" w14:textId="075B9B0A" w:rsidR="00385DA4" w:rsidRPr="00385DA4" w:rsidRDefault="00385DA4" w:rsidP="00385DA4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54DEA9" wp14:editId="07FED80F">
            <wp:extent cx="5612130" cy="3622675"/>
            <wp:effectExtent l="0" t="0" r="0" b="0"/>
            <wp:docPr id="157029736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97366" name="Imagem 15702973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3"/>
        <w:gridCol w:w="1463"/>
      </w:tblGrid>
      <w:tr w:rsidR="009F5B7B" w:rsidRPr="00385DA4" w14:paraId="3A93BF42" w14:textId="77777777" w:rsidTr="009F5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38EA3D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Ativo</w:t>
            </w:r>
          </w:p>
        </w:tc>
        <w:tc>
          <w:tcPr>
            <w:tcW w:w="0" w:type="auto"/>
          </w:tcPr>
          <w:p w14:paraId="2F7F1D4C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Sharpe Ratio</w:t>
            </w:r>
          </w:p>
        </w:tc>
      </w:tr>
      <w:tr w:rsidR="009F5B7B" w:rsidRPr="00385DA4" w14:paraId="2644E062" w14:textId="77777777">
        <w:tc>
          <w:tcPr>
            <w:tcW w:w="0" w:type="auto"/>
          </w:tcPr>
          <w:p w14:paraId="511D07DD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  <w:b/>
                <w:bCs/>
              </w:rPr>
              <w:t>PETR4</w:t>
            </w:r>
          </w:p>
        </w:tc>
        <w:tc>
          <w:tcPr>
            <w:tcW w:w="0" w:type="auto"/>
          </w:tcPr>
          <w:p w14:paraId="61C38EA9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  <w:b/>
                <w:bCs/>
              </w:rPr>
              <w:t>1,18</w:t>
            </w:r>
          </w:p>
        </w:tc>
      </w:tr>
      <w:tr w:rsidR="009F5B7B" w:rsidRPr="00385DA4" w14:paraId="0B75CAA7" w14:textId="77777777">
        <w:tc>
          <w:tcPr>
            <w:tcW w:w="0" w:type="auto"/>
          </w:tcPr>
          <w:p w14:paraId="3B60D429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  <w:b/>
                <w:bCs/>
              </w:rPr>
              <w:t>VALE3</w:t>
            </w:r>
          </w:p>
        </w:tc>
        <w:tc>
          <w:tcPr>
            <w:tcW w:w="0" w:type="auto"/>
          </w:tcPr>
          <w:p w14:paraId="0CB80A74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  <w:b/>
                <w:bCs/>
              </w:rPr>
              <w:t>1,18</w:t>
            </w:r>
          </w:p>
        </w:tc>
      </w:tr>
      <w:tr w:rsidR="009F5B7B" w:rsidRPr="00385DA4" w14:paraId="0BDED531" w14:textId="77777777">
        <w:tc>
          <w:tcPr>
            <w:tcW w:w="0" w:type="auto"/>
          </w:tcPr>
          <w:p w14:paraId="40EC1939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WEGE3</w:t>
            </w:r>
          </w:p>
        </w:tc>
        <w:tc>
          <w:tcPr>
            <w:tcW w:w="0" w:type="auto"/>
          </w:tcPr>
          <w:p w14:paraId="3C906E28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0,67</w:t>
            </w:r>
          </w:p>
        </w:tc>
      </w:tr>
      <w:tr w:rsidR="009F5B7B" w:rsidRPr="00385DA4" w14:paraId="5B2EFDE8" w14:textId="77777777">
        <w:tc>
          <w:tcPr>
            <w:tcW w:w="0" w:type="auto"/>
          </w:tcPr>
          <w:p w14:paraId="7EA57869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Ibovespa</w:t>
            </w:r>
          </w:p>
        </w:tc>
        <w:tc>
          <w:tcPr>
            <w:tcW w:w="0" w:type="auto"/>
          </w:tcPr>
          <w:p w14:paraId="2D095C84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0,67</w:t>
            </w:r>
          </w:p>
        </w:tc>
      </w:tr>
      <w:tr w:rsidR="009F5B7B" w:rsidRPr="00385DA4" w14:paraId="07FDAD95" w14:textId="77777777">
        <w:tc>
          <w:tcPr>
            <w:tcW w:w="0" w:type="auto"/>
          </w:tcPr>
          <w:p w14:paraId="34CF91D6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ITUB4</w:t>
            </w:r>
          </w:p>
        </w:tc>
        <w:tc>
          <w:tcPr>
            <w:tcW w:w="0" w:type="auto"/>
          </w:tcPr>
          <w:p w14:paraId="1A1A8F71" w14:textId="77777777" w:rsidR="009F5B7B" w:rsidRPr="00385DA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85DA4">
              <w:rPr>
                <w:rFonts w:ascii="Times New Roman" w:hAnsi="Times New Roman" w:cs="Times New Roman"/>
              </w:rPr>
              <w:t>0,38</w:t>
            </w:r>
          </w:p>
        </w:tc>
      </w:tr>
    </w:tbl>
    <w:p w14:paraId="29F8E434" w14:textId="77777777" w:rsidR="009F5B7B" w:rsidRPr="00385DA4" w:rsidRDefault="00000000">
      <w:pPr>
        <w:pStyle w:val="Corpodetexto"/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t>PETR4 e VALE3 entregaram quase o triplo do Sharpe Ratio da ITUB4, e o dobro do próprio Ibovespa.</w:t>
      </w:r>
    </w:p>
    <w:p w14:paraId="4C5765C6" w14:textId="77777777" w:rsidR="009F5B7B" w:rsidRPr="00385DA4" w:rsidRDefault="00000000">
      <w:p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pict w14:anchorId="2DACF1DF">
          <v:rect id="_x0000_i1058" style="width:0;height:1.5pt" o:hralign="center" o:hrstd="t" o:hr="t"/>
        </w:pict>
      </w:r>
    </w:p>
    <w:p w14:paraId="42874BF2" w14:textId="77777777" w:rsidR="00385DA4" w:rsidRDefault="00385DA4">
      <w:pPr>
        <w:pStyle w:val="Ttulo2"/>
        <w:rPr>
          <w:rFonts w:ascii="Times New Roman" w:hAnsi="Times New Roman" w:cs="Times New Roman"/>
          <w:i/>
          <w:iCs/>
          <w:color w:val="000000" w:themeColor="text1"/>
        </w:rPr>
      </w:pPr>
      <w:bookmarkStart w:id="7" w:name="recomendação"/>
      <w:bookmarkEnd w:id="3"/>
      <w:bookmarkEnd w:id="6"/>
    </w:p>
    <w:p w14:paraId="4FE83053" w14:textId="169A8FB2" w:rsidR="009F5B7B" w:rsidRPr="00385DA4" w:rsidRDefault="00000000">
      <w:pPr>
        <w:pStyle w:val="Ttulo2"/>
        <w:rPr>
          <w:rFonts w:ascii="Times New Roman" w:hAnsi="Times New Roman" w:cs="Times New Roman"/>
          <w:i/>
          <w:iCs/>
          <w:color w:val="000000" w:themeColor="text1"/>
        </w:rPr>
      </w:pPr>
      <w:r w:rsidRPr="00385DA4">
        <w:rPr>
          <w:rFonts w:ascii="Times New Roman" w:hAnsi="Times New Roman" w:cs="Times New Roman"/>
          <w:i/>
          <w:iCs/>
          <w:color w:val="000000" w:themeColor="text1"/>
        </w:rPr>
        <w:t>4. Recomendação</w:t>
      </w:r>
    </w:p>
    <w:p w14:paraId="1992C05D" w14:textId="77777777" w:rsidR="009F5B7B" w:rsidRPr="00385DA4" w:rsidRDefault="00000000">
      <w:pPr>
        <w:pStyle w:val="FirstParagraph"/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t xml:space="preserve">Para o mandato conservador do cliente, a recomendação é </w:t>
      </w:r>
      <w:r w:rsidRPr="00385DA4">
        <w:rPr>
          <w:rFonts w:ascii="Times New Roman" w:hAnsi="Times New Roman" w:cs="Times New Roman"/>
          <w:b/>
          <w:bCs/>
        </w:rPr>
        <w:t>PETR4 e VALE3, combinadas</w:t>
      </w:r>
      <w:r w:rsidRPr="00385DA4">
        <w:rPr>
          <w:rFonts w:ascii="Times New Roman" w:hAnsi="Times New Roman" w:cs="Times New Roman"/>
        </w:rPr>
        <w:t>:</w:t>
      </w:r>
    </w:p>
    <w:p w14:paraId="2DEA6BF4" w14:textId="77777777" w:rsidR="009F5B7B" w:rsidRPr="00385DA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t>Retorno muito superior às demais opções (+49,5% vs. +22,0% da alternativa mais conservadora)</w:t>
      </w:r>
    </w:p>
    <w:p w14:paraId="153C4403" w14:textId="77777777" w:rsidR="009F5B7B" w:rsidRPr="00385DA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t>Diferença de risco pequena (~2 p.p.) frente ao ganho de retorno</w:t>
      </w:r>
    </w:p>
    <w:p w14:paraId="4409EECC" w14:textId="251C4569" w:rsidR="009F5B7B" w:rsidRPr="00385DA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t xml:space="preserve">Correlação quase </w:t>
      </w:r>
      <w:proofErr w:type="spellStart"/>
      <w:r w:rsidRPr="00385DA4">
        <w:rPr>
          <w:rFonts w:ascii="Times New Roman" w:hAnsi="Times New Roman" w:cs="Times New Roman"/>
        </w:rPr>
        <w:t>nula</w:t>
      </w:r>
      <w:proofErr w:type="spellEnd"/>
      <w:r w:rsidRPr="00385DA4">
        <w:rPr>
          <w:rFonts w:ascii="Times New Roman" w:hAnsi="Times New Roman" w:cs="Times New Roman"/>
        </w:rPr>
        <w:t xml:space="preserve"> entre as duas</w:t>
      </w:r>
      <w:r w:rsidR="00B41F09">
        <w:rPr>
          <w:rFonts w:ascii="Times New Roman" w:hAnsi="Times New Roman" w:cs="Times New Roman"/>
        </w:rPr>
        <w:t xml:space="preserve">, </w:t>
      </w:r>
      <w:proofErr w:type="spellStart"/>
      <w:r w:rsidRPr="00385DA4">
        <w:rPr>
          <w:rFonts w:ascii="Times New Roman" w:hAnsi="Times New Roman" w:cs="Times New Roman"/>
        </w:rPr>
        <w:t>comportamento</w:t>
      </w:r>
      <w:proofErr w:type="spellEnd"/>
      <w:r w:rsidRPr="00385DA4">
        <w:rPr>
          <w:rFonts w:ascii="Times New Roman" w:hAnsi="Times New Roman" w:cs="Times New Roman"/>
        </w:rPr>
        <w:t xml:space="preserve"> </w:t>
      </w:r>
      <w:proofErr w:type="spellStart"/>
      <w:r w:rsidRPr="00385DA4">
        <w:rPr>
          <w:rFonts w:ascii="Times New Roman" w:hAnsi="Times New Roman" w:cs="Times New Roman"/>
        </w:rPr>
        <w:t>independente</w:t>
      </w:r>
      <w:proofErr w:type="spellEnd"/>
      <w:r w:rsidRPr="00385DA4">
        <w:rPr>
          <w:rFonts w:ascii="Times New Roman" w:hAnsi="Times New Roman" w:cs="Times New Roman"/>
        </w:rPr>
        <w:t xml:space="preserve"> </w:t>
      </w:r>
      <w:proofErr w:type="spellStart"/>
      <w:r w:rsidRPr="00385DA4">
        <w:rPr>
          <w:rFonts w:ascii="Times New Roman" w:hAnsi="Times New Roman" w:cs="Times New Roman"/>
        </w:rPr>
        <w:t>reduz</w:t>
      </w:r>
      <w:proofErr w:type="spellEnd"/>
      <w:r w:rsidRPr="00385DA4">
        <w:rPr>
          <w:rFonts w:ascii="Times New Roman" w:hAnsi="Times New Roman" w:cs="Times New Roman"/>
        </w:rPr>
        <w:t xml:space="preserve"> o </w:t>
      </w:r>
      <w:proofErr w:type="spellStart"/>
      <w:r w:rsidRPr="00385DA4">
        <w:rPr>
          <w:rFonts w:ascii="Times New Roman" w:hAnsi="Times New Roman" w:cs="Times New Roman"/>
        </w:rPr>
        <w:t>risco</w:t>
      </w:r>
      <w:proofErr w:type="spellEnd"/>
      <w:r w:rsidRPr="00385DA4">
        <w:rPr>
          <w:rFonts w:ascii="Times New Roman" w:hAnsi="Times New Roman" w:cs="Times New Roman"/>
        </w:rPr>
        <w:t xml:space="preserve"> combinado da posição, aproximando-se do benefício de diversificação sem abrir mão do retorno</w:t>
      </w:r>
    </w:p>
    <w:p w14:paraId="4C1ADB6E" w14:textId="421CD515" w:rsidR="009F5B7B" w:rsidRPr="00385DA4" w:rsidRDefault="00000000">
      <w:pPr>
        <w:pStyle w:val="FirstParagraph"/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  <w:b/>
          <w:bCs/>
        </w:rPr>
        <w:t>Nota de contexto:</w:t>
      </w:r>
      <w:r w:rsidRPr="00385DA4">
        <w:rPr>
          <w:rFonts w:ascii="Times New Roman" w:hAnsi="Times New Roman" w:cs="Times New Roman"/>
        </w:rPr>
        <w:t xml:space="preserve"> esta recomendação reflete a janela de 12 meses mais recente. Uma análise da mesma cesta de ativos no período 2021–2025 (5 anos) apontava ITUB4 como a </w:t>
      </w:r>
      <w:proofErr w:type="spellStart"/>
      <w:r w:rsidRPr="00385DA4">
        <w:rPr>
          <w:rFonts w:ascii="Times New Roman" w:hAnsi="Times New Roman" w:cs="Times New Roman"/>
        </w:rPr>
        <w:t>opção</w:t>
      </w:r>
      <w:proofErr w:type="spellEnd"/>
      <w:r w:rsidRPr="00385DA4">
        <w:rPr>
          <w:rFonts w:ascii="Times New Roman" w:hAnsi="Times New Roman" w:cs="Times New Roman"/>
        </w:rPr>
        <w:t xml:space="preserve"> </w:t>
      </w:r>
      <w:proofErr w:type="spellStart"/>
      <w:r w:rsidRPr="00385DA4">
        <w:rPr>
          <w:rFonts w:ascii="Times New Roman" w:hAnsi="Times New Roman" w:cs="Times New Roman"/>
        </w:rPr>
        <w:t>mais</w:t>
      </w:r>
      <w:proofErr w:type="spellEnd"/>
      <w:r w:rsidRPr="00385DA4">
        <w:rPr>
          <w:rFonts w:ascii="Times New Roman" w:hAnsi="Times New Roman" w:cs="Times New Roman"/>
        </w:rPr>
        <w:t xml:space="preserve"> </w:t>
      </w:r>
      <w:proofErr w:type="spellStart"/>
      <w:r w:rsidR="00B41F09">
        <w:rPr>
          <w:rFonts w:ascii="Times New Roman" w:hAnsi="Times New Roman" w:cs="Times New Roman"/>
        </w:rPr>
        <w:t>segura</w:t>
      </w:r>
      <w:proofErr w:type="spellEnd"/>
      <w:r w:rsidR="00B41F09">
        <w:rPr>
          <w:rFonts w:ascii="Times New Roman" w:hAnsi="Times New Roman" w:cs="Times New Roman"/>
        </w:rPr>
        <w:t>,</w:t>
      </w:r>
      <w:r w:rsidRPr="00385DA4">
        <w:rPr>
          <w:rFonts w:ascii="Times New Roman" w:hAnsi="Times New Roman" w:cs="Times New Roman"/>
        </w:rPr>
        <w:t xml:space="preserve"> o ranking </w:t>
      </w:r>
      <w:proofErr w:type="spellStart"/>
      <w:r w:rsidRPr="00385DA4">
        <w:rPr>
          <w:rFonts w:ascii="Times New Roman" w:hAnsi="Times New Roman" w:cs="Times New Roman"/>
        </w:rPr>
        <w:t>mudou</w:t>
      </w:r>
      <w:proofErr w:type="spellEnd"/>
      <w:r w:rsidRPr="00385DA4">
        <w:rPr>
          <w:rFonts w:ascii="Times New Roman" w:hAnsi="Times New Roman" w:cs="Times New Roman"/>
        </w:rPr>
        <w:t xml:space="preserve"> porque o comportamento relativo dos ativos mudou ao longo do tempo. Recomenda-se revisitar esta análise periodicamente.</w:t>
      </w:r>
    </w:p>
    <w:p w14:paraId="3D60E433" w14:textId="77777777" w:rsidR="009F5B7B" w:rsidRPr="00385DA4" w:rsidRDefault="00000000">
      <w:p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pict w14:anchorId="5EC7C171">
          <v:rect id="_x0000_i1059" style="width:0;height:1.5pt" o:hralign="center" o:hrstd="t" o:hr="t"/>
        </w:pict>
      </w:r>
    </w:p>
    <w:p w14:paraId="491F5F2E" w14:textId="77777777" w:rsidR="009F5B7B" w:rsidRPr="00385DA4" w:rsidRDefault="00000000">
      <w:pPr>
        <w:pStyle w:val="Ttulo2"/>
        <w:rPr>
          <w:rFonts w:ascii="Times New Roman" w:hAnsi="Times New Roman" w:cs="Times New Roman"/>
          <w:i/>
          <w:iCs/>
          <w:color w:val="000000" w:themeColor="text1"/>
        </w:rPr>
      </w:pPr>
      <w:bookmarkStart w:id="8" w:name="limitações"/>
      <w:bookmarkEnd w:id="7"/>
      <w:r w:rsidRPr="00385DA4">
        <w:rPr>
          <w:rFonts w:ascii="Times New Roman" w:hAnsi="Times New Roman" w:cs="Times New Roman"/>
          <w:i/>
          <w:iCs/>
          <w:color w:val="000000" w:themeColor="text1"/>
        </w:rPr>
        <w:t>5. Limitações</w:t>
      </w:r>
    </w:p>
    <w:p w14:paraId="53933BB4" w14:textId="77777777" w:rsidR="009F5B7B" w:rsidRPr="00385DA4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t>Análise baseada exclusivamente em preços históricos; não considera fundamentos, notícias ou cenário macroeconômico prospectivo.</w:t>
      </w:r>
    </w:p>
    <w:p w14:paraId="526659FB" w14:textId="77777777" w:rsidR="009F5B7B" w:rsidRPr="00385DA4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t>Retornos passados não garantem retornos futuros.</w:t>
      </w:r>
    </w:p>
    <w:p w14:paraId="3B96DA1C" w14:textId="77777777" w:rsidR="009F5B7B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t xml:space="preserve">Taxa livre de risco aproximada pela Selic vigente na data de elaboração; sujeita </w:t>
      </w:r>
      <w:proofErr w:type="gramStart"/>
      <w:r w:rsidRPr="00385DA4">
        <w:rPr>
          <w:rFonts w:ascii="Times New Roman" w:hAnsi="Times New Roman" w:cs="Times New Roman"/>
        </w:rPr>
        <w:t>a</w:t>
      </w:r>
      <w:proofErr w:type="gramEnd"/>
      <w:r w:rsidRPr="00385DA4">
        <w:rPr>
          <w:rFonts w:ascii="Times New Roman" w:hAnsi="Times New Roman" w:cs="Times New Roman"/>
        </w:rPr>
        <w:t xml:space="preserve"> alteração nas </w:t>
      </w:r>
      <w:proofErr w:type="spellStart"/>
      <w:r w:rsidRPr="00385DA4">
        <w:rPr>
          <w:rFonts w:ascii="Times New Roman" w:hAnsi="Times New Roman" w:cs="Times New Roman"/>
        </w:rPr>
        <w:t>próximas</w:t>
      </w:r>
      <w:proofErr w:type="spellEnd"/>
      <w:r w:rsidRPr="00385DA4">
        <w:rPr>
          <w:rFonts w:ascii="Times New Roman" w:hAnsi="Times New Roman" w:cs="Times New Roman"/>
        </w:rPr>
        <w:t xml:space="preserve"> </w:t>
      </w:r>
      <w:proofErr w:type="spellStart"/>
      <w:r w:rsidRPr="00385DA4">
        <w:rPr>
          <w:rFonts w:ascii="Times New Roman" w:hAnsi="Times New Roman" w:cs="Times New Roman"/>
        </w:rPr>
        <w:t>reuniões</w:t>
      </w:r>
      <w:proofErr w:type="spellEnd"/>
      <w:r w:rsidRPr="00385DA4">
        <w:rPr>
          <w:rFonts w:ascii="Times New Roman" w:hAnsi="Times New Roman" w:cs="Times New Roman"/>
        </w:rPr>
        <w:t xml:space="preserve"> do </w:t>
      </w:r>
      <w:proofErr w:type="spellStart"/>
      <w:r w:rsidRPr="00385DA4">
        <w:rPr>
          <w:rFonts w:ascii="Times New Roman" w:hAnsi="Times New Roman" w:cs="Times New Roman"/>
        </w:rPr>
        <w:t>Copom</w:t>
      </w:r>
      <w:proofErr w:type="spellEnd"/>
      <w:r w:rsidRPr="00385DA4">
        <w:rPr>
          <w:rFonts w:ascii="Times New Roman" w:hAnsi="Times New Roman" w:cs="Times New Roman"/>
        </w:rPr>
        <w:t>.</w:t>
      </w:r>
    </w:p>
    <w:p w14:paraId="45116F3A" w14:textId="77777777" w:rsidR="00385DA4" w:rsidRPr="00385DA4" w:rsidRDefault="00385DA4" w:rsidP="00385DA4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85DA4">
        <w:rPr>
          <w:rFonts w:ascii="Times New Roman" w:hAnsi="Times New Roman" w:cs="Times New Roman"/>
        </w:rPr>
        <w:t>Retornos</w:t>
      </w:r>
      <w:proofErr w:type="spellEnd"/>
      <w:r w:rsidRPr="00385DA4">
        <w:rPr>
          <w:rFonts w:ascii="Times New Roman" w:hAnsi="Times New Roman" w:cs="Times New Roman"/>
        </w:rPr>
        <w:t xml:space="preserve"> </w:t>
      </w:r>
      <w:proofErr w:type="spellStart"/>
      <w:r w:rsidRPr="00385DA4">
        <w:rPr>
          <w:rFonts w:ascii="Times New Roman" w:hAnsi="Times New Roman" w:cs="Times New Roman"/>
        </w:rPr>
        <w:t>calculados</w:t>
      </w:r>
      <w:proofErr w:type="spellEnd"/>
      <w:r w:rsidRPr="00385DA4">
        <w:rPr>
          <w:rFonts w:ascii="Times New Roman" w:hAnsi="Times New Roman" w:cs="Times New Roman"/>
        </w:rPr>
        <w:t xml:space="preserve"> com base no </w:t>
      </w:r>
      <w:proofErr w:type="spellStart"/>
      <w:r w:rsidRPr="00385DA4">
        <w:rPr>
          <w:rFonts w:ascii="Times New Roman" w:hAnsi="Times New Roman" w:cs="Times New Roman"/>
        </w:rPr>
        <w:t>preço</w:t>
      </w:r>
      <w:proofErr w:type="spellEnd"/>
      <w:r w:rsidRPr="00385DA4">
        <w:rPr>
          <w:rFonts w:ascii="Times New Roman" w:hAnsi="Times New Roman" w:cs="Times New Roman"/>
        </w:rPr>
        <w:t xml:space="preserve"> de </w:t>
      </w:r>
      <w:proofErr w:type="spellStart"/>
      <w:r w:rsidRPr="00385DA4">
        <w:rPr>
          <w:rFonts w:ascii="Times New Roman" w:hAnsi="Times New Roman" w:cs="Times New Roman"/>
        </w:rPr>
        <w:t>fechamento</w:t>
      </w:r>
      <w:proofErr w:type="spellEnd"/>
      <w:r w:rsidRPr="00385DA4">
        <w:rPr>
          <w:rFonts w:ascii="Times New Roman" w:hAnsi="Times New Roman" w:cs="Times New Roman"/>
        </w:rPr>
        <w:t xml:space="preserve"> </w:t>
      </w:r>
      <w:proofErr w:type="spellStart"/>
      <w:r w:rsidRPr="00385DA4">
        <w:rPr>
          <w:rFonts w:ascii="Times New Roman" w:hAnsi="Times New Roman" w:cs="Times New Roman"/>
        </w:rPr>
        <w:t>ajustado</w:t>
      </w:r>
      <w:proofErr w:type="spellEnd"/>
      <w:r w:rsidRPr="00385DA4">
        <w:rPr>
          <w:rFonts w:ascii="Times New Roman" w:hAnsi="Times New Roman" w:cs="Times New Roman"/>
        </w:rPr>
        <w:t xml:space="preserve"> (Close), </w:t>
      </w:r>
      <w:proofErr w:type="spellStart"/>
      <w:r w:rsidRPr="00385DA4">
        <w:rPr>
          <w:rFonts w:ascii="Times New Roman" w:hAnsi="Times New Roman" w:cs="Times New Roman"/>
        </w:rPr>
        <w:t>sem</w:t>
      </w:r>
      <w:proofErr w:type="spellEnd"/>
      <w:r w:rsidRPr="00385DA4">
        <w:rPr>
          <w:rFonts w:ascii="Times New Roman" w:hAnsi="Times New Roman" w:cs="Times New Roman"/>
        </w:rPr>
        <w:t xml:space="preserve"> </w:t>
      </w:r>
      <w:proofErr w:type="spellStart"/>
      <w:r w:rsidRPr="00385DA4">
        <w:rPr>
          <w:rFonts w:ascii="Times New Roman" w:hAnsi="Times New Roman" w:cs="Times New Roman"/>
        </w:rPr>
        <w:t>incluir</w:t>
      </w:r>
      <w:proofErr w:type="spellEnd"/>
      <w:r w:rsidRPr="00385DA4">
        <w:rPr>
          <w:rFonts w:ascii="Times New Roman" w:hAnsi="Times New Roman" w:cs="Times New Roman"/>
        </w:rPr>
        <w:t xml:space="preserve"> </w:t>
      </w:r>
      <w:proofErr w:type="spellStart"/>
      <w:r w:rsidRPr="00385DA4">
        <w:rPr>
          <w:rFonts w:ascii="Times New Roman" w:hAnsi="Times New Roman" w:cs="Times New Roman"/>
        </w:rPr>
        <w:t>dividendos</w:t>
      </w:r>
      <w:proofErr w:type="spellEnd"/>
      <w:r w:rsidRPr="00385DA4">
        <w:rPr>
          <w:rFonts w:ascii="Times New Roman" w:hAnsi="Times New Roman" w:cs="Times New Roman"/>
        </w:rPr>
        <w:t xml:space="preserve">. Dados </w:t>
      </w:r>
      <w:proofErr w:type="spellStart"/>
      <w:r w:rsidRPr="00385DA4">
        <w:rPr>
          <w:rFonts w:ascii="Times New Roman" w:hAnsi="Times New Roman" w:cs="Times New Roman"/>
        </w:rPr>
        <w:t>coletados</w:t>
      </w:r>
      <w:proofErr w:type="spellEnd"/>
      <w:r w:rsidRPr="00385DA4">
        <w:rPr>
          <w:rFonts w:ascii="Times New Roman" w:hAnsi="Times New Roman" w:cs="Times New Roman"/>
        </w:rPr>
        <w:t xml:space="preserve"> via Yahoo Finance </w:t>
      </w:r>
      <w:proofErr w:type="spellStart"/>
      <w:r w:rsidRPr="00385DA4">
        <w:rPr>
          <w:rFonts w:ascii="Times New Roman" w:hAnsi="Times New Roman" w:cs="Times New Roman"/>
        </w:rPr>
        <w:t>na</w:t>
      </w:r>
      <w:proofErr w:type="spellEnd"/>
      <w:r w:rsidRPr="00385DA4">
        <w:rPr>
          <w:rFonts w:ascii="Times New Roman" w:hAnsi="Times New Roman" w:cs="Times New Roman"/>
        </w:rPr>
        <w:t xml:space="preserve"> data de </w:t>
      </w:r>
      <w:proofErr w:type="spellStart"/>
      <w:r w:rsidRPr="00385DA4">
        <w:rPr>
          <w:rFonts w:ascii="Times New Roman" w:hAnsi="Times New Roman" w:cs="Times New Roman"/>
        </w:rPr>
        <w:t>execução</w:t>
      </w:r>
      <w:proofErr w:type="spellEnd"/>
      <w:r w:rsidRPr="00385DA4">
        <w:rPr>
          <w:rFonts w:ascii="Times New Roman" w:hAnsi="Times New Roman" w:cs="Times New Roman"/>
        </w:rPr>
        <w:t xml:space="preserve"> do script</w:t>
      </w:r>
    </w:p>
    <w:p w14:paraId="78508BD5" w14:textId="77777777" w:rsidR="00385DA4" w:rsidRPr="00385DA4" w:rsidRDefault="00385DA4" w:rsidP="00385DA4">
      <w:pPr>
        <w:pStyle w:val="Compact"/>
        <w:ind w:left="720"/>
        <w:rPr>
          <w:rFonts w:ascii="Times New Roman" w:hAnsi="Times New Roman" w:cs="Times New Roman"/>
        </w:rPr>
      </w:pPr>
    </w:p>
    <w:p w14:paraId="253A3B8A" w14:textId="77777777" w:rsidR="009F5B7B" w:rsidRPr="00385DA4" w:rsidRDefault="00000000">
      <w:pPr>
        <w:rPr>
          <w:rFonts w:ascii="Times New Roman" w:hAnsi="Times New Roman" w:cs="Times New Roman"/>
        </w:rPr>
      </w:pPr>
      <w:r w:rsidRPr="00385DA4">
        <w:rPr>
          <w:rFonts w:ascii="Times New Roman" w:hAnsi="Times New Roman" w:cs="Times New Roman"/>
        </w:rPr>
        <w:pict w14:anchorId="3054E631">
          <v:rect id="_x0000_i1060" style="width:0;height:1.5pt" o:hralign="center" o:bullet="t" o:hrstd="t" o:hr="t"/>
        </w:pict>
      </w:r>
    </w:p>
    <w:p w14:paraId="460AEF08" w14:textId="77777777" w:rsidR="009F5B7B" w:rsidRPr="00385DA4" w:rsidRDefault="00000000">
      <w:pPr>
        <w:pStyle w:val="FirstParagraph"/>
        <w:rPr>
          <w:rFonts w:ascii="Times New Roman" w:hAnsi="Times New Roman" w:cs="Times New Roman"/>
        </w:rPr>
      </w:pPr>
      <w:proofErr w:type="spellStart"/>
      <w:r w:rsidRPr="00385DA4">
        <w:rPr>
          <w:rFonts w:ascii="Times New Roman" w:hAnsi="Times New Roman" w:cs="Times New Roman"/>
          <w:i/>
          <w:iCs/>
        </w:rPr>
        <w:t>Elaborado</w:t>
      </w:r>
      <w:proofErr w:type="spellEnd"/>
      <w:r w:rsidRPr="00385DA4">
        <w:rPr>
          <w:rFonts w:ascii="Times New Roman" w:hAnsi="Times New Roman" w:cs="Times New Roman"/>
          <w:i/>
          <w:iCs/>
        </w:rPr>
        <w:t xml:space="preserve"> com Python (pandas, yfinance, matplotlib, seaborn). Dados: Yahoo Finance.</w:t>
      </w:r>
      <w:bookmarkEnd w:id="0"/>
      <w:bookmarkEnd w:id="8"/>
    </w:p>
    <w:sectPr w:rsidR="009F5B7B" w:rsidRPr="00385DA4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5F0CD" w14:textId="77777777" w:rsidR="00512FBA" w:rsidRDefault="00512FBA">
      <w:pPr>
        <w:spacing w:after="0"/>
      </w:pPr>
      <w:r>
        <w:separator/>
      </w:r>
    </w:p>
  </w:endnote>
  <w:endnote w:type="continuationSeparator" w:id="0">
    <w:p w14:paraId="63DDAD42" w14:textId="77777777" w:rsidR="00512FBA" w:rsidRDefault="00512F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439C4" w14:textId="77777777" w:rsidR="00512FBA" w:rsidRDefault="00512FBA">
      <w:r>
        <w:separator/>
      </w:r>
    </w:p>
  </w:footnote>
  <w:footnote w:type="continuationSeparator" w:id="0">
    <w:p w14:paraId="4C030671" w14:textId="77777777" w:rsidR="00512FBA" w:rsidRDefault="00512F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202F6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9F860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803617947">
    <w:abstractNumId w:val="0"/>
  </w:num>
  <w:num w:numId="2" w16cid:durableId="9914005">
    <w:abstractNumId w:val="1"/>
  </w:num>
  <w:num w:numId="3" w16cid:durableId="1065641901">
    <w:abstractNumId w:val="1"/>
  </w:num>
  <w:num w:numId="4" w16cid:durableId="673341931">
    <w:abstractNumId w:val="1"/>
  </w:num>
  <w:num w:numId="5" w16cid:durableId="1810323005">
    <w:abstractNumId w:val="1"/>
  </w:num>
  <w:num w:numId="6" w16cid:durableId="619844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5B7B"/>
    <w:rsid w:val="00385DA4"/>
    <w:rsid w:val="00512FBA"/>
    <w:rsid w:val="009F5B7B"/>
    <w:rsid w:val="00B41F09"/>
    <w:rsid w:val="00DE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61A0E"/>
  <w15:docId w15:val="{DFD1D391-EE06-4703-ACE9-33F759F1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664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FINANCEIRO 4 NPC</dc:creator>
  <cp:keywords/>
  <cp:lastModifiedBy>FINANCEIRO 4 NPC</cp:lastModifiedBy>
  <cp:revision>2</cp:revision>
  <dcterms:created xsi:type="dcterms:W3CDTF">2026-08-11T21:03:00Z</dcterms:created>
  <dcterms:modified xsi:type="dcterms:W3CDTF">2026-08-11T21:03:00Z</dcterms:modified>
</cp:coreProperties>
</file>