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The New York City Taxi and Limousine Commission seeks a way to utilize the data collected from the New York City area to predict the fare amount for taxi cab rides.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720"/>
        <w:gridCol w:w="2220"/>
        <w:gridCol w:w="3420"/>
        <w:tblGridChange w:id="0">
          <w:tblGrid>
            <w:gridCol w:w="1395"/>
            <w:gridCol w:w="3720"/>
            <w:gridCol w:w="222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605347412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203119384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94846014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64293239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1904925183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sdt>
              <w:sdtPr>
                <w:alias w:val="PACE dropdown selector"/>
                <w:id w:val="-33598402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134531643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6155921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75559304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56362161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10904356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EDA report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Tableau dashboard/visualizations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5600559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1522044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91465335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2143909198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sdt>
              <w:sdtPr>
                <w:alias w:val="PACE dropdown selector"/>
                <w:id w:val="169638083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80723357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2333258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9034856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00201129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5770900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2503564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Determine the success of the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28527504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8179419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61218705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08346767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54741894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01581920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