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Policy resi e-commerce</w:t>
      </w:r>
    </w:p>
    <w:p>
      <w:r>
        <w:t xml:space="preserve">Documento operativo di Padana Logistics per i resi dei clienti e-commerce.</w:t>
      </w:r>
    </w:p>
    <w:p>
      <w:pPr>
        <w:pStyle w:val="Heading2"/>
      </w:pPr>
      <w:r>
        <w:t xml:space="preserve">Finestra di reso</w:t>
      </w:r>
    </w:p>
    <w:p>
      <w:r>
        <w:t xml:space="preserve">Il destinatario può chiedere il reso entro 30 giorni dalla consegna tramite il portale del cliente.</w:t>
      </w:r>
    </w:p>
    <w:p>
      <w:pPr>
        <w:pStyle w:val="Heading2"/>
      </w:pPr>
      <w:r>
        <w:t xml:space="preserve">Ritiro del reso</w:t>
      </w:r>
    </w:p>
    <w:p>
      <w:r>
        <w:t xml:space="preserve">Il ritiro avviene entro 3 giorni lavorativi dalla richiesta, con etichetta generata dal portale. Il costo del reso è a carico del cliente mittente.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2026-10-12T08:17:06.517Z</dcterms:created>
  <dcterms:modified xsi:type="dcterms:W3CDTF">2026-10-12T08:17:06.522Z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