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FOOD RESCUE AGENT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Documentazione legale di progetto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Sicurezza alimentare (HACCP) nelle donazioni e protezione dei dati personali (GDPR)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Gruppo di lavoro legale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Anna De Maio, Alessia De Michele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Ottobre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Introduzione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Food Rescue Agent è un sito web contro lo spreco alimentare che mette in contatto chi ha eccedenze alimentari con i centri di raccolta, attraverso una mappa dei centri, la gestione delle donazioni e un agente AI di supporto. Dal punto di vista legale il progetto si colloca su due fronti distinti: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Sicurezza alimentare e donazioni: </w:t>
      </w:r>
      <w:r>
        <w:rPr>
          <w:rFonts w:ascii="Calibri" w:cs="Calibri" w:eastAsia="Calibri" w:hAnsi="Calibri"/>
          <w:sz w:val="22"/>
          <w:szCs w:val="22"/>
        </w:rPr>
        <w:t xml:space="preserve">quali norme regolano la cessione gratuita di alimenti e chi risponde di cosa lungo la filiera della donazione (HACCP, Legge Gadda, Terzo Settore).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 e protezione dei dati: </w:t>
      </w:r>
      <w:r>
        <w:rPr>
          <w:rFonts w:ascii="Calibri" w:cs="Calibri" w:eastAsia="Calibri" w:hAnsi="Calibri"/>
          <w:sz w:val="22"/>
          <w:szCs w:val="22"/>
        </w:rPr>
        <w:t xml:space="preserve">quali obblighi derivano dal GDPR per un sistema che prevede registrazione e login degli utenti.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presente documento riunisce i due ambiti in un unico riferimento per il gruppo di lavoro e per le altre aree del progetto (sviluppo del sito e progettazione del database), che dovranno recepire i requisiti qui descritti.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Sicurezza alimentare e donazioni (HACCP)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Quadro normativo di riferimento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 leggi che regolamentano questo settore si muovono su due livelli, europeo e italiano.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Livello europeo: la base della sicurezza alimentare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Regolamento (CE) n. 178/2002. </w:t>
      </w:r>
      <w:r>
        <w:rPr>
          <w:rFonts w:ascii="Calibri" w:cs="Calibri" w:eastAsia="Calibri" w:hAnsi="Calibri"/>
          <w:sz w:val="22"/>
          <w:szCs w:val="22"/>
        </w:rPr>
        <w:t xml:space="preserve">È la pietra miliare della legislazione alimentare europea. Stabilisce i principi generali della sicurezza alimentare, l'obbligo di tracciabilità e definisce la responsabilità legale di chiunque immetta sul mercato o distribuisca alimenti a terzi, anche a titolo gratuito.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Regolamento (CE) n. 852/2004. </w:t>
      </w:r>
      <w:r>
        <w:rPr>
          <w:rFonts w:ascii="Calibri" w:cs="Calibri" w:eastAsia="Calibri" w:hAnsi="Calibri"/>
          <w:sz w:val="22"/>
          <w:szCs w:val="22"/>
        </w:rPr>
        <w:t xml:space="preserve">Disciplina l'igiene dei prodotti alimentari e impone l'obbligo di applicare le procedure basate sui principi del sistema HACCP per tutte le attività commerciali e di ristorazione.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Livello nazionale: donazioni e Terzo Settore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Legge n. 166/2016 ("Legge Gadda"). </w:t>
      </w:r>
      <w:r>
        <w:rPr>
          <w:rFonts w:ascii="Calibri" w:cs="Calibri" w:eastAsia="Calibri" w:hAnsi="Calibri"/>
          <w:sz w:val="22"/>
          <w:szCs w:val="22"/>
        </w:rPr>
        <w:t xml:space="preserve">È la legge cardine in Italia per la limitazione degli sprechi alimentari e la ridistribuzione delle eccedenze. Facilita la donazione da parte delle imprese (ristoranti, supermercati, industrie) stabilendo che i prodotti alimentari possano essere ceduti gratuitamente per finalità di solidarietà sociale, chiarendo i limiti di responsabilità e valorizzando anche i prodotti oltre il Termine Minimo di Conservazione (TMC).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Decreto Legislativo n. 117/2017 (Codice del Terzo Settore). </w:t>
      </w:r>
      <w:r>
        <w:rPr>
          <w:rFonts w:ascii="Calibri" w:cs="Calibri" w:eastAsia="Calibri" w:hAnsi="Calibri"/>
          <w:sz w:val="22"/>
          <w:szCs w:val="22"/>
        </w:rPr>
        <w:t xml:space="preserve">Regolamenta le organizzazioni di volontariato e gli enti caritativi che gestiscono i centri di raccolta, definendo i requisiti strutturali e operativi che questi devono possedere per ricevere e ridistribuire beni in sicurezza.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Manuale di corrette prassi operative per le organizzazioni caritative (validato dal Ministero della Salute). </w:t>
      </w:r>
      <w:r>
        <w:rPr>
          <w:rFonts w:ascii="Calibri" w:cs="Calibri" w:eastAsia="Calibri" w:hAnsi="Calibri"/>
          <w:sz w:val="22"/>
          <w:szCs w:val="22"/>
        </w:rPr>
        <w:t xml:space="preserve">È il documento tecnico ufficiale a cui i centri di raccolta e le associazioni devono attenersi per gestire ricezione, stoccaggio e distribuzione delle derrate alimentari nel pieno rispetto delle norme igienico-sanitarie.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Responsabilità del donatore: buona fede e responsabilità limitata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Legge Gadda stabilisce il principio della responsabilità limitata e di buona fede: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Il donatore è responsabile della sicurezza del cibo fino al momento della cessione, cioè garantisce di aver rispettato l'HACCP e le temperature fino a quando lo consegna all'ente.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 il cibo viene ceduto nel rispetto delle norme igieniche e ricevuto da enti che a loro volta seguono i protocolli di corretta prassi, il donatore è tutelato da eventuali responsabilità civili o penali derivanti da cattiva conservazione successiva o consumo improprio, a meno che non vi sia dolo o colpa grave.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Riepilogo per attore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deve garantire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Riferimento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Donatore (ristorante, supermercato, industria)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Rispetto di HACCP e temperature fino alla cessione; tracciabilità del prodotto ceduto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Reg. (CE) 178/2002 e 852/2004; L. 166/2016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Centro di raccolta / ente caritativo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Requisiti strutturali e operativi per ricevere e ridistribuire; corretta gestione di ricezione, stoccaggio e distribuzione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D.Lgs. 117/2017; Manuale di corrette prassi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Piattaforma Food Rescue Agent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Facilitare l'incontro tra donatori e centri nel rispetto di questo quadro (vedi sezione 4)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Principi generali, Reg. (CE) 178/2002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Privacy e protezione dei dati personali (GDPR)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Il sito prevede registrazione e login degli utenti, quindi tratta dati personali (ad esempio email e nome utente). Di seguito i requisiti di conformità da rispettare.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Informativa sulla privacy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prevede: </w:t>
      </w:r>
      <w:r>
        <w:rPr>
          <w:rFonts w:ascii="Calibri" w:cs="Calibri" w:eastAsia="Calibri" w:hAnsi="Calibri"/>
          <w:sz w:val="22"/>
          <w:szCs w:val="22"/>
        </w:rPr>
        <w:t xml:space="preserve">prima che l'utente completi la registrazione creando un account, il sistema deve mettergli a disposizione un'informativa chiara, concisa e facilmente accessibile (art. 13 GDPR, Regolamento UE 2016/679).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inserire: </w:t>
      </w:r>
      <w:r>
        <w:rPr>
          <w:rFonts w:ascii="Calibri" w:cs="Calibri" w:eastAsia="Calibri" w:hAnsi="Calibri"/>
          <w:sz w:val="22"/>
          <w:szCs w:val="22"/>
        </w:rPr>
        <w:t xml:space="preserve">chi è il titolare del trattamento, quali dati vengono raccolti (es. email, nome utente), le finalità del trattamento (es. gestione dell'account, erogazione del servizio), i tempi di conservazione e i diritti dell'utente.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Buona prassi tecnica: </w:t>
      </w:r>
      <w:r>
        <w:rPr>
          <w:rFonts w:ascii="Calibri" w:cs="Calibri" w:eastAsia="Calibri" w:hAnsi="Calibri"/>
          <w:sz w:val="22"/>
          <w:szCs w:val="22"/>
        </w:rPr>
        <w:t xml:space="preserve">inserire in fase di registrazione una casella di spunta (checkbox) non pre-flaggata, con un link testuale che rimanda all'informativa completa.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Base giuridica del trattamento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prevede: </w:t>
      </w:r>
      <w:r>
        <w:rPr>
          <w:rFonts w:ascii="Calibri" w:cs="Calibri" w:eastAsia="Calibri" w:hAnsi="Calibri"/>
          <w:sz w:val="22"/>
          <w:szCs w:val="22"/>
        </w:rPr>
        <w:t xml:space="preserve">secondo l'art. 6 GDPR, ogni trattamento di dati personali deve fondarsi su una base giuridica valida.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Applicazione per il login: </w:t>
      </w:r>
      <w:r>
        <w:rPr>
          <w:rFonts w:ascii="Calibri" w:cs="Calibri" w:eastAsia="Calibri" w:hAnsi="Calibri"/>
          <w:sz w:val="22"/>
          <w:szCs w:val="22"/>
        </w:rPr>
        <w:t xml:space="preserve">per la creazione e la gestione di un account utente la base giuridica principale è solitamente l'esecuzione di un contratto o di misure precontrattuali richieste dall'interessato (art. 6, par. 1, lett. 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Newsletter e profilazione: </w:t>
      </w:r>
      <w:r>
        <w:rPr>
          <w:rFonts w:ascii="Calibri" w:cs="Calibri" w:eastAsia="Calibri" w:hAnsi="Calibri"/>
          <w:sz w:val="22"/>
          <w:szCs w:val="22"/>
        </w:rPr>
        <w:t xml:space="preserve">se si intende inviare newsletter o fare profilazione, occorre raccogliere un consenso specifico, distinto e facoltativo.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Minimizzazione dei dati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prevede: </w:t>
      </w:r>
      <w:r>
        <w:rPr>
          <w:rFonts w:ascii="Calibri" w:cs="Calibri" w:eastAsia="Calibri" w:hAnsi="Calibri"/>
          <w:sz w:val="22"/>
          <w:szCs w:val="22"/>
        </w:rPr>
        <w:t xml:space="preserve">l'art. 5 GDPR stabilisce che i dati personali devono essere "adeguati, pertinenti e limitati a quanto necessario rispetto alle finalità" (data minimization).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Applicazione pratica: </w:t>
      </w:r>
      <w:r>
        <w:rPr>
          <w:rFonts w:ascii="Calibri" w:cs="Calibri" w:eastAsia="Calibri" w:hAnsi="Calibri"/>
          <w:sz w:val="22"/>
          <w:szCs w:val="22"/>
        </w:rPr>
        <w:t xml:space="preserve">in fase di registrazione richiedere solo i dati strettamente necessari all'erogazione del servizio (es. email e password). Evitare di rendere obbligatori campi superflui (genere, data di nascita, numero di telefono, indirizzo) a meno che non siano realmente indispensabili al funzionamento dell'applicazione.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Sicurezza delle credenziali e dei dati (security by design)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prevede: </w:t>
      </w:r>
      <w:r>
        <w:rPr>
          <w:rFonts w:ascii="Calibri" w:cs="Calibri" w:eastAsia="Calibri" w:hAnsi="Calibri"/>
          <w:sz w:val="22"/>
          <w:szCs w:val="22"/>
        </w:rPr>
        <w:t xml:space="preserve">l'art. 32 GDPR impone misure tecniche e organizzative adeguate a garantire un livello di sicurezza idoneo al rischio (crittografia, riservatezza e integrità dei sistemi).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Hashing delle password: </w:t>
      </w:r>
      <w:r>
        <w:rPr>
          <w:rFonts w:ascii="Calibri" w:cs="Calibri" w:eastAsia="Calibri" w:hAnsi="Calibri"/>
          <w:sz w:val="22"/>
          <w:szCs w:val="22"/>
        </w:rPr>
        <w:t xml:space="preserve">le password non devono mai essere salvate in chiaro nel database. È obbligatorio usare algoritmi di hashing sicuri e robusti con salt (es. bcrypt, Argon2, PBKDF2).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Trasmissione sicura: </w:t>
      </w:r>
      <w:r>
        <w:rPr>
          <w:rFonts w:ascii="Calibri" w:cs="Calibri" w:eastAsia="Calibri" w:hAnsi="Calibri"/>
          <w:sz w:val="22"/>
          <w:szCs w:val="22"/>
        </w:rPr>
        <w:t xml:space="preserve">il traffico tra client e server deve viaggiare esclusivamente su protocollo cifrato (HTTPS/TLS).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Accessi logici: </w:t>
      </w:r>
      <w:r>
        <w:rPr>
          <w:rFonts w:ascii="Calibri" w:cs="Calibri" w:eastAsia="Calibri" w:hAnsi="Calibri"/>
          <w:sz w:val="22"/>
          <w:szCs w:val="22"/>
        </w:rPr>
        <w:t xml:space="preserve">adottare registri e controlli sugli accessi logici ai sistemi informatici di gestione dei dati.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Diritti degli utenti e cancellazione (diritto all'oblio)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Cosa prevede: </w:t>
      </w:r>
      <w:r>
        <w:rPr>
          <w:rFonts w:ascii="Calibri" w:cs="Calibri" w:eastAsia="Calibri" w:hAnsi="Calibri"/>
          <w:sz w:val="22"/>
          <w:szCs w:val="22"/>
        </w:rPr>
        <w:t xml:space="preserve">gli articoli dal 15 al 22 GDPR riconoscono agli utenti diversi diritti, tra cui accesso ai propri dati, rettifica e cancellazione.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Applicazione pratica: </w:t>
      </w:r>
      <w:r>
        <w:rPr>
          <w:rFonts w:ascii="Calibri" w:cs="Calibri" w:eastAsia="Calibri" w:hAnsi="Calibri"/>
          <w:sz w:val="22"/>
          <w:szCs w:val="22"/>
        </w:rPr>
        <w:t xml:space="preserve">dalla dashboard utente, o tramite richiesta, l'utente deve poter eliminare facilmente il proprio account. Alla cancellazione i dati personali vanno rimossi dai sistemi attivi o anonimizzati, salvo i dati che la legge impone di conservare per obblighi fiscali o civilistici (es. 10 anni per eventuali transazioni commerciali, art. 2220 del Codice Civile).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Requisiti operativi per il progetto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tabella traduce il quadro normativo in indicazioni per i gruppi che sviluppano il sito e il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37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Rif.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 della registrazione, mostrare l'informativa privacy, con checkbox non pre-flaggata e link al testo completo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13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Nell'informativa indicare titolare, dati raccolti, finalità, tempi di conservazione, diritti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13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Usare come base giuridica del login l'esecuzione di un contratto; prevedere consenso separato e facoltativo per newsletter o profilazione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6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Richiedere in registrazione solo i dati necessari (es. email e password)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5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Salvare le password con hash e salt (bcrypt, Argon2 o PBKDF2), mai in chiaro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32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Servire il sito esclusivamente su HTTPS/TLS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32 GDPR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Tenere registri e controlli sugli accessi logici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Art. 32 GDPR; Garante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Offrire all'utente la cancellazione dell'account; rimuovere o anonimizzare i dati, conservando solo quelli con obbligo di legge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Artt. 15-22 GDPR; art. 2220 c.c.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Gestire le donazioni nel rispetto della tracciabilità e della responsabilità di chi cede alimenti, anche a titolo gratuito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Reg. (CE) 178/2002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Ricondurre la donazione a finalità di solidarietà sociale verso enti del Terzo Settore che seguono le corrette prassi operative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L. 166/2016; D.Lgs. 117/2017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Fonti normative di riferimento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Regolamento (CE) n. 178/2002: </w:t>
      </w:r>
      <w:r>
        <w:rPr>
          <w:rFonts w:ascii="Calibri" w:cs="Calibri" w:eastAsia="Calibri" w:hAnsi="Calibri"/>
          <w:sz w:val="22"/>
          <w:szCs w:val="22"/>
        </w:rPr>
        <w:t xml:space="preserve">principi generali di sicurezza alimentare, tracciabilità, responsabilità.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Regolamento (CE) n. 852/2004: </w:t>
      </w:r>
      <w:r>
        <w:rPr>
          <w:rFonts w:ascii="Calibri" w:cs="Calibri" w:eastAsia="Calibri" w:hAnsi="Calibri"/>
          <w:sz w:val="22"/>
          <w:szCs w:val="22"/>
        </w:rPr>
        <w:t xml:space="preserve">igiene dei prodotti alimentari e procedure HACCP.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Legge n. 166/2016 (Legge Gadda): </w:t>
      </w:r>
      <w:r>
        <w:rPr>
          <w:rFonts w:ascii="Calibri" w:cs="Calibri" w:eastAsia="Calibri" w:hAnsi="Calibri"/>
          <w:sz w:val="22"/>
          <w:szCs w:val="22"/>
        </w:rPr>
        <w:t xml:space="preserve">limitazione degli sprechi e ridistribuzione delle eccedenze.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D.Lgs. n. 117/2017 (Codice del Terzo Settore): </w:t>
      </w:r>
      <w:r>
        <w:rPr>
          <w:rFonts w:ascii="Calibri" w:cs="Calibri" w:eastAsia="Calibri" w:hAnsi="Calibri"/>
          <w:sz w:val="22"/>
          <w:szCs w:val="22"/>
        </w:rPr>
        <w:t xml:space="preserve">organizzazioni di volontariato ed enti caritativi.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Manuale di corrette prassi operative per le organizzazioni caritative: </w:t>
      </w:r>
      <w:r>
        <w:rPr>
          <w:rFonts w:ascii="Calibri" w:cs="Calibri" w:eastAsia="Calibri" w:hAnsi="Calibri"/>
          <w:sz w:val="22"/>
          <w:szCs w:val="22"/>
        </w:rPr>
        <w:t xml:space="preserve">validato dal Ministero della Salute.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Regolamento UE 2016/679 (GDPR): </w:t>
      </w:r>
      <w:r>
        <w:rPr>
          <w:rFonts w:ascii="Calibri" w:cs="Calibri" w:eastAsia="Calibri" w:hAnsi="Calibri"/>
          <w:sz w:val="22"/>
          <w:szCs w:val="22"/>
        </w:rPr>
        <w:t xml:space="preserve">in particolare artt. 5 (principi), 6 (basi giuridiche), 13 (informativa), 15-22 (diritti, tra cui art. 17 cancellazione) e 32 (sicurezza del trattamento).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D.Lgs. n. 196/2003 (Codice della Privacy) e successive modifiche: </w:t>
      </w:r>
      <w:r>
        <w:rPr>
          <w:rFonts w:ascii="Calibri" w:cs="Calibri" w:eastAsia="Calibri" w:hAnsi="Calibri"/>
          <w:sz w:val="22"/>
          <w:szCs w:val="22"/>
        </w:rPr>
        <w:t xml:space="preserve">normativa nazionale di adeguamento al GDPR.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Codice Civile, art. 2220: </w:t>
      </w:r>
      <w:r>
        <w:rPr>
          <w:rFonts w:ascii="Calibri" w:cs="Calibri" w:eastAsia="Calibri" w:hAnsi="Calibri"/>
          <w:sz w:val="22"/>
          <w:szCs w:val="22"/>
        </w:rPr>
        <w:t xml:space="preserve">conservazione delle scritture contabili (10 anni).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Garante per la protezione dei dati personali: </w:t>
      </w:r>
      <w:r>
        <w:rPr>
          <w:rFonts w:ascii="Calibri" w:cs="Calibri" w:eastAsia="Calibri" w:hAnsi="Calibri"/>
          <w:sz w:val="22"/>
          <w:szCs w:val="22"/>
        </w:rPr>
        <w:t xml:space="preserve">linee guida e provvedimenti su sicurezza delle password, tracciamento degli accessi logici e trasparenza delle informative online.</w:t>
      </w:r>
    </w:p>
    <w:sectPr>
      <w:footerReference w:type="default" r:id="rId7"/>
      <w:pgSz w:w="11906" w:h="16838" w:orient="portrait"/>
      <w:pgMar w:top="1440" w:right="1272" w:bottom="1440" w:left="12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Food Rescue Agent - Documentazione legale - pag.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Rescue Agent - Documentazione legale</dc:title>
  <dc:creator>Gruppo legale - Food Rescue Agent</dc:creator>
  <cp:lastModifiedBy>Un-named</cp:lastModifiedBy>
  <cp:revision>1</cp:revision>
  <dcterms:created xsi:type="dcterms:W3CDTF">2026-10-05T16:28:55.700Z</dcterms:created>
  <dcterms:modified xsi:type="dcterms:W3CDTF">2026-10-05T16:28:55.700Z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