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121918" w14:textId="77777777" w:rsidR="00281B6D" w:rsidRDefault="00000000">
      <w:pPr>
        <w:spacing w:line="300" w:lineRule="auto"/>
      </w:pPr>
      <w:r>
        <w:rPr>
          <w:noProof/>
        </w:rPr>
        <w:drawing>
          <wp:anchor distT="0" distB="0" distL="0" distR="0" simplePos="0" relativeHeight="251629056" behindDoc="0" locked="0" layoutInCell="1" allowOverlap="1" wp14:anchorId="4DDA87B7" wp14:editId="53954BB3">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0:15</w:t>
      </w:r>
      <w:r>
        <w:rPr>
          <w:rFonts w:ascii="Segoe UI" w:eastAsia="Segoe UI" w:hAnsi="Segoe UI" w:cs="Segoe UI"/>
          <w:color w:val="242424"/>
          <w:sz w:val="24"/>
          <w:szCs w:val="24"/>
        </w:rPr>
        <w:br/>
        <w:t>Can you hear me?</w:t>
      </w:r>
    </w:p>
    <w:p w14:paraId="20596DDC" w14:textId="10E2A9B2"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0:17</w:t>
      </w:r>
      <w:r>
        <w:rPr>
          <w:rFonts w:ascii="Segoe UI" w:eastAsia="Segoe UI" w:hAnsi="Segoe UI" w:cs="Segoe UI"/>
          <w:color w:val="242424"/>
          <w:sz w:val="24"/>
          <w:szCs w:val="24"/>
        </w:rPr>
        <w:br/>
        <w:t>Yes, I can hear you.</w:t>
      </w:r>
    </w:p>
    <w:p w14:paraId="21D856FB" w14:textId="77777777" w:rsidR="00281B6D" w:rsidRDefault="00000000">
      <w:pPr>
        <w:spacing w:line="300" w:lineRule="auto"/>
      </w:pPr>
      <w:r>
        <w:rPr>
          <w:noProof/>
        </w:rPr>
        <w:drawing>
          <wp:anchor distT="0" distB="0" distL="0" distR="0" simplePos="0" relativeHeight="251631104" behindDoc="0" locked="0" layoutInCell="1" allowOverlap="1" wp14:anchorId="06DA62FF" wp14:editId="031497F9">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0:20</w:t>
      </w:r>
      <w:r>
        <w:rPr>
          <w:rFonts w:ascii="Segoe UI" w:eastAsia="Segoe UI" w:hAnsi="Segoe UI" w:cs="Segoe UI"/>
          <w:color w:val="242424"/>
          <w:sz w:val="24"/>
          <w:szCs w:val="24"/>
        </w:rPr>
        <w:br/>
        <w:t>Good. So, okay, before going into the...</w:t>
      </w:r>
      <w:r>
        <w:rPr>
          <w:rFonts w:ascii="Segoe UI" w:eastAsia="Segoe UI" w:hAnsi="Segoe UI" w:cs="Segoe UI"/>
          <w:color w:val="242424"/>
          <w:sz w:val="24"/>
          <w:szCs w:val="24"/>
        </w:rPr>
        <w:br/>
        <w:t>Questions on the guidelines. I would like just to recall, even though probably you left it in the, you left the answer in the survey, a bit of your background. So without explicitly mentioning the institution where you work, if you can shortly describe your experience with</w:t>
      </w:r>
      <w:r>
        <w:rPr>
          <w:rFonts w:ascii="Segoe UI" w:eastAsia="Segoe UI" w:hAnsi="Segoe UI" w:cs="Segoe UI"/>
          <w:color w:val="242424"/>
          <w:sz w:val="24"/>
          <w:szCs w:val="24"/>
        </w:rPr>
        <w:br/>
        <w:t>the teaching and assessing software engineering and which challenges, assessment challenges, Jan AI brought to the, I mean, to light essentially.</w:t>
      </w:r>
    </w:p>
    <w:p w14:paraId="038DAEA8" w14:textId="03416663"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w:t>
      </w:r>
      <w:r>
        <w:rPr>
          <w:rFonts w:ascii="Segoe UI" w:eastAsia="Segoe UI" w:hAnsi="Segoe UI" w:cs="Segoe UI"/>
          <w:color w:val="242424"/>
          <w:sz w:val="24"/>
          <w:szCs w:val="24"/>
        </w:rPr>
        <w:br/>
        <w:t>Okay, yeah. Yeah. So I have been teaching courses in modern driven engineering and model based software development, software engineering.</w:t>
      </w:r>
    </w:p>
    <w:p w14:paraId="6D7223D7" w14:textId="77777777" w:rsidR="00281B6D" w:rsidRDefault="00000000">
      <w:pPr>
        <w:spacing w:line="300" w:lineRule="auto"/>
      </w:pPr>
      <w:r>
        <w:rPr>
          <w:noProof/>
        </w:rPr>
        <w:drawing>
          <wp:anchor distT="0" distB="0" distL="0" distR="0" simplePos="0" relativeHeight="251633152" behindDoc="0" locked="0" layoutInCell="1" allowOverlap="1" wp14:anchorId="16B094E8" wp14:editId="0F4D3E75">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1:01</w:t>
      </w:r>
      <w:r>
        <w:rPr>
          <w:rFonts w:ascii="Segoe UI" w:eastAsia="Segoe UI" w:hAnsi="Segoe UI" w:cs="Segoe UI"/>
          <w:color w:val="242424"/>
          <w:sz w:val="24"/>
          <w:szCs w:val="24"/>
        </w:rPr>
        <w:br/>
        <w:t>in your opinion.</w:t>
      </w:r>
    </w:p>
    <w:p w14:paraId="4ED5F3E1" w14:textId="7CAE099E"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1:19</w:t>
      </w:r>
      <w:r>
        <w:rPr>
          <w:rFonts w:ascii="Segoe UI" w:eastAsia="Segoe UI" w:hAnsi="Segoe UI" w:cs="Segoe UI"/>
          <w:color w:val="242424"/>
          <w:sz w:val="24"/>
          <w:szCs w:val="24"/>
        </w:rPr>
        <w:br/>
        <w:t>and a bit also guest lectures in other courses related to real-time software engineering and embedded systems.</w:t>
      </w:r>
      <w:r>
        <w:rPr>
          <w:rFonts w:ascii="Segoe UI" w:eastAsia="Segoe UI" w:hAnsi="Segoe UI" w:cs="Segoe UI"/>
          <w:color w:val="242424"/>
          <w:sz w:val="24"/>
          <w:szCs w:val="24"/>
        </w:rPr>
        <w:br/>
        <w:t>since 15 years. And the biggest challenge, at least from definitely from the last year, is that now it seems in practice it's almost impossible</w:t>
      </w:r>
      <w:r>
        <w:rPr>
          <w:rFonts w:ascii="Segoe UI" w:eastAsia="Segoe UI" w:hAnsi="Segoe UI" w:cs="Segoe UI"/>
          <w:color w:val="242424"/>
          <w:sz w:val="24"/>
          <w:szCs w:val="24"/>
        </w:rPr>
        <w:br/>
        <w:t>To trust homeworks.</w:t>
      </w:r>
      <w:r>
        <w:rPr>
          <w:rFonts w:ascii="Segoe UI" w:eastAsia="Segoe UI" w:hAnsi="Segoe UI" w:cs="Segoe UI"/>
          <w:color w:val="242424"/>
          <w:sz w:val="24"/>
          <w:szCs w:val="24"/>
        </w:rPr>
        <w:br/>
        <w:t>So whatever is given to the students as something that is done offline.</w:t>
      </w:r>
      <w:r>
        <w:rPr>
          <w:rFonts w:ascii="Segoe UI" w:eastAsia="Segoe UI" w:hAnsi="Segoe UI" w:cs="Segoe UI"/>
          <w:color w:val="242424"/>
          <w:sz w:val="24"/>
          <w:szCs w:val="24"/>
        </w:rPr>
        <w:br/>
        <w:t>as this problem that you cannot completely assess the fact that it's something done by the student or generated by Jan AI.</w:t>
      </w:r>
    </w:p>
    <w:p w14:paraId="00F9D37D" w14:textId="77777777" w:rsidR="00281B6D" w:rsidRDefault="00000000">
      <w:pPr>
        <w:spacing w:line="300" w:lineRule="auto"/>
      </w:pPr>
      <w:r>
        <w:rPr>
          <w:noProof/>
        </w:rPr>
        <w:drawing>
          <wp:anchor distT="0" distB="0" distL="0" distR="0" simplePos="0" relativeHeight="251635200" behindDoc="0" locked="0" layoutInCell="1" allowOverlap="1" wp14:anchorId="49003DB0" wp14:editId="294B6F5E">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2:23</w:t>
      </w:r>
      <w:r>
        <w:rPr>
          <w:rFonts w:ascii="Segoe UI" w:eastAsia="Segoe UI" w:hAnsi="Segoe UI" w:cs="Segoe UI"/>
          <w:color w:val="242424"/>
          <w:sz w:val="24"/>
          <w:szCs w:val="24"/>
        </w:rPr>
        <w:br/>
        <w:t xml:space="preserve">Okay, so, and then I guess, yeah, we will discuss a little bit more on this when </w:t>
      </w:r>
      <w:r>
        <w:rPr>
          <w:rFonts w:ascii="Segoe UI" w:eastAsia="Segoe UI" w:hAnsi="Segoe UI" w:cs="Segoe UI"/>
          <w:color w:val="242424"/>
          <w:sz w:val="24"/>
          <w:szCs w:val="24"/>
        </w:rPr>
        <w:lastRenderedPageBreak/>
        <w:t>approaching the specific guidelines. But before doing that, I just wanted to check if, what is the understanding of, your understanding of</w:t>
      </w:r>
      <w:r>
        <w:rPr>
          <w:rFonts w:ascii="Segoe UI" w:eastAsia="Segoe UI" w:hAnsi="Segoe UI" w:cs="Segoe UI"/>
          <w:color w:val="242424"/>
          <w:sz w:val="24"/>
          <w:szCs w:val="24"/>
        </w:rPr>
        <w:br/>
        <w:t>the set of the guidelines as a whole. So if it's clear, let's say again, as a set, what they are trying to achieve, if they are well formulated in your opinion, of course, or there is something missing, you know, something that you feel should have been different, explained or formulated.</w:t>
      </w:r>
      <w:r>
        <w:rPr>
          <w:rFonts w:ascii="Segoe UI" w:eastAsia="Segoe UI" w:hAnsi="Segoe UI" w:cs="Segoe UI"/>
          <w:color w:val="242424"/>
          <w:sz w:val="24"/>
          <w:szCs w:val="24"/>
        </w:rPr>
        <w:br/>
        <w:t>Things like that.</w:t>
      </w:r>
    </w:p>
    <w:p w14:paraId="0B33003C" w14:textId="7ED3EDB1"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3:05</w:t>
      </w:r>
      <w:r>
        <w:rPr>
          <w:rFonts w:ascii="Segoe UI" w:eastAsia="Segoe UI" w:hAnsi="Segoe UI" w:cs="Segoe UI"/>
          <w:color w:val="242424"/>
          <w:sz w:val="24"/>
          <w:szCs w:val="24"/>
        </w:rPr>
        <w:br/>
        <w:t>No, in general, I think they are reasonable and quite understandable. There was one aspect that I was missing.</w:t>
      </w:r>
      <w:r>
        <w:rPr>
          <w:rFonts w:ascii="Segoe UI" w:eastAsia="Segoe UI" w:hAnsi="Segoe UI" w:cs="Segoe UI"/>
          <w:color w:val="242424"/>
          <w:sz w:val="24"/>
          <w:szCs w:val="24"/>
        </w:rPr>
        <w:br/>
        <w:t>and was related to the, in some sense, in these guidelines, there is an implicit assumption or understanding of what are the assignments or</w:t>
      </w:r>
      <w:r>
        <w:rPr>
          <w:rFonts w:ascii="Segoe UI" w:eastAsia="Segoe UI" w:hAnsi="Segoe UI" w:cs="Segoe UI"/>
          <w:color w:val="242424"/>
          <w:sz w:val="24"/>
          <w:szCs w:val="24"/>
        </w:rPr>
        <w:br/>
        <w:t>the assessment scenarios that are more or less sensitive to the fact of having the Jan AI into play. And this part, to me, it felt a bit kind of left implicit indeed. No, not.</w:t>
      </w:r>
    </w:p>
    <w:p w14:paraId="3E9CBC83" w14:textId="77777777" w:rsidR="00281B6D" w:rsidRDefault="00000000">
      <w:pPr>
        <w:spacing w:line="300" w:lineRule="auto"/>
      </w:pPr>
      <w:r>
        <w:rPr>
          <w:noProof/>
        </w:rPr>
        <w:drawing>
          <wp:anchor distT="0" distB="0" distL="0" distR="0" simplePos="0" relativeHeight="251637248" behindDoc="0" locked="0" layoutInCell="1" allowOverlap="1" wp14:anchorId="71EB438D" wp14:editId="698B5A2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3:59</w:t>
      </w:r>
      <w:r>
        <w:rPr>
          <w:rFonts w:ascii="Segoe UI" w:eastAsia="Segoe UI" w:hAnsi="Segoe UI" w:cs="Segoe UI"/>
          <w:color w:val="242424"/>
          <w:sz w:val="24"/>
          <w:szCs w:val="24"/>
        </w:rPr>
        <w:br/>
        <w:t>Yeah.</w:t>
      </w:r>
      <w:r>
        <w:rPr>
          <w:rFonts w:ascii="Segoe UI" w:eastAsia="Segoe UI" w:hAnsi="Segoe UI" w:cs="Segoe UI"/>
          <w:color w:val="242424"/>
          <w:sz w:val="24"/>
          <w:szCs w:val="24"/>
        </w:rPr>
        <w:br/>
        <w:t>Yeah, so I can quickly answer about this and then if you feel that, I mean, still after my answer, this aspect is not well, let's say, explained and then we can pick it up again in the specific</w:t>
      </w:r>
      <w:r>
        <w:rPr>
          <w:rFonts w:ascii="Segoe UI" w:eastAsia="Segoe UI" w:hAnsi="Segoe UI" w:cs="Segoe UI"/>
          <w:color w:val="242424"/>
          <w:sz w:val="24"/>
          <w:szCs w:val="24"/>
        </w:rPr>
        <w:br/>
        <w:t>guidelines. But in general, you may be right in the sense that the guidelines are, of course, the results of a systematic mapping study and as well as a survey, the one that you want to also answer.</w:t>
      </w:r>
      <w:r>
        <w:rPr>
          <w:rFonts w:ascii="Segoe UI" w:eastAsia="Segoe UI" w:hAnsi="Segoe UI" w:cs="Segoe UI"/>
          <w:color w:val="242424"/>
          <w:sz w:val="24"/>
          <w:szCs w:val="24"/>
        </w:rPr>
        <w:br/>
        <w:t>So, to some extent, they reflect the, yeah, the results that we got from these two activities. So, implicitly, maybe assuming that some form of assignments are more or less sensitive to the use of Gen. AI as</w:t>
      </w:r>
      <w:r>
        <w:rPr>
          <w:rFonts w:ascii="Segoe UI" w:eastAsia="Segoe UI" w:hAnsi="Segoe UI" w:cs="Segoe UI"/>
          <w:color w:val="242424"/>
          <w:sz w:val="24"/>
          <w:szCs w:val="24"/>
        </w:rPr>
        <w:br/>
        <w:t>we got to know from these activities. But nevertheless, I think now, since we will look at every guideline separated, yeah, you may add discussion points if it is still unclear.</w:t>
      </w:r>
      <w:r>
        <w:rPr>
          <w:rFonts w:ascii="Segoe UI" w:eastAsia="Segoe UI" w:hAnsi="Segoe UI" w:cs="Segoe UI"/>
          <w:color w:val="242424"/>
          <w:sz w:val="24"/>
          <w:szCs w:val="24"/>
        </w:rPr>
        <w:br/>
        <w:t>So just a quick reminder that it would be good for me if you could, for each guideline, think about how clear, relevant it is. And of course, if you think it's feasible and applicable, you don't have to necessarily, you know, give us core or whatever. But if you feel that something is missing, then we can</w:t>
      </w:r>
    </w:p>
    <w:p w14:paraId="1DF8D435" w14:textId="34450375" w:rsidR="00281B6D" w:rsidRDefault="00000000">
      <w:pPr>
        <w:spacing w:line="300" w:lineRule="auto"/>
      </w:pPr>
      <w:r>
        <w:rPr>
          <w:rFonts w:ascii="Segoe UI" w:eastAsia="Segoe UI" w:hAnsi="Segoe UI" w:cs="Segoe UI"/>
          <w:b/>
          <w:bCs/>
          <w:color w:val="616161"/>
          <w:sz w:val="24"/>
          <w:szCs w:val="24"/>
        </w:rPr>
        <w:lastRenderedPageBreak/>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5:43</w:t>
      </w:r>
      <w:r>
        <w:rPr>
          <w:rFonts w:ascii="Segoe UI" w:eastAsia="Segoe UI" w:hAnsi="Segoe UI" w:cs="Segoe UI"/>
          <w:color w:val="242424"/>
          <w:sz w:val="24"/>
          <w:szCs w:val="24"/>
        </w:rPr>
        <w:br/>
        <w:t>Mhm.</w:t>
      </w:r>
    </w:p>
    <w:p w14:paraId="6DF1B29E" w14:textId="77777777" w:rsidR="00281B6D" w:rsidRDefault="00000000">
      <w:pPr>
        <w:spacing w:line="300" w:lineRule="auto"/>
      </w:pPr>
      <w:r>
        <w:rPr>
          <w:noProof/>
        </w:rPr>
        <w:drawing>
          <wp:anchor distT="0" distB="0" distL="0" distR="0" simplePos="0" relativeHeight="251639296" behindDoc="0" locked="0" layoutInCell="1" allowOverlap="1" wp14:anchorId="73AA95B3" wp14:editId="723DE9D0">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5:46</w:t>
      </w:r>
      <w:r>
        <w:rPr>
          <w:rFonts w:ascii="Segoe UI" w:eastAsia="Segoe UI" w:hAnsi="Segoe UI" w:cs="Segoe UI"/>
          <w:color w:val="242424"/>
          <w:sz w:val="24"/>
          <w:szCs w:val="24"/>
        </w:rPr>
        <w:br/>
        <w:t>Yeah, you can add it. So the first guideline which you saw from my invitation e-mail is about defining the competence and how, let's say, the student needs to demonstrate this if they need to demonstrate it independently with the use of Gen. AI.</w:t>
      </w:r>
      <w:r>
        <w:rPr>
          <w:rFonts w:ascii="Segoe UI" w:eastAsia="Segoe UI" w:hAnsi="Segoe UI" w:cs="Segoe UI"/>
          <w:color w:val="242424"/>
          <w:sz w:val="24"/>
          <w:szCs w:val="24"/>
        </w:rPr>
        <w:br/>
        <w:t>how Gen. AI should be used. So yeah, what does this guideline tell you? Is it clear? It's yeah.</w:t>
      </w:r>
    </w:p>
    <w:p w14:paraId="6C5E4E88" w14:textId="31BCDAA7"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6:21</w:t>
      </w:r>
      <w:r>
        <w:rPr>
          <w:rFonts w:ascii="Segoe UI" w:eastAsia="Segoe UI" w:hAnsi="Segoe UI" w:cs="Segoe UI"/>
          <w:color w:val="242424"/>
          <w:sz w:val="24"/>
          <w:szCs w:val="24"/>
        </w:rPr>
        <w:br/>
        <w:t>No, to me this is quite clear. So I found the guideline as clear and also applicable in the sense that it makes sense to have a guideline that distinguishes between the</w:t>
      </w:r>
      <w:r>
        <w:rPr>
          <w:rFonts w:ascii="Segoe UI" w:eastAsia="Segoe UI" w:hAnsi="Segoe UI" w:cs="Segoe UI"/>
          <w:color w:val="242424"/>
          <w:sz w:val="24"/>
          <w:szCs w:val="24"/>
        </w:rPr>
        <w:br/>
        <w:t>How you you see the role of Jan AI in the in the assessment?</w:t>
      </w:r>
    </w:p>
    <w:p w14:paraId="78F7B043" w14:textId="77777777" w:rsidR="00281B6D" w:rsidRDefault="00000000">
      <w:pPr>
        <w:spacing w:line="300" w:lineRule="auto"/>
      </w:pPr>
      <w:r>
        <w:rPr>
          <w:noProof/>
        </w:rPr>
        <w:drawing>
          <wp:anchor distT="0" distB="0" distL="0" distR="0" simplePos="0" relativeHeight="251641344" behindDoc="0" locked="0" layoutInCell="1" allowOverlap="1" wp14:anchorId="3E656C70" wp14:editId="53FDE9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6:47</w:t>
      </w:r>
      <w:r>
        <w:rPr>
          <w:rFonts w:ascii="Segoe UI" w:eastAsia="Segoe UI" w:hAnsi="Segoe UI" w:cs="Segoe UI"/>
          <w:color w:val="242424"/>
          <w:sz w:val="24"/>
          <w:szCs w:val="24"/>
        </w:rPr>
        <w:br/>
        <w:t>Yeah. And I mean, we will see probably that, or you will realize that to some extent these guidelines are of course connected and bringing one to another. But yeah, moving forward to the second guideline, it states essentially that we as educators should state</w:t>
      </w:r>
    </w:p>
    <w:p w14:paraId="5131FA18" w14:textId="3370A409"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6:59</w:t>
      </w:r>
      <w:r>
        <w:rPr>
          <w:rFonts w:ascii="Segoe UI" w:eastAsia="Segoe UI" w:hAnsi="Segoe UI" w:cs="Segoe UI"/>
          <w:color w:val="242424"/>
          <w:sz w:val="24"/>
          <w:szCs w:val="24"/>
        </w:rPr>
        <w:br/>
        <w:t>Great.</w:t>
      </w:r>
    </w:p>
    <w:p w14:paraId="05543906" w14:textId="77777777" w:rsidR="00281B6D" w:rsidRDefault="00000000">
      <w:pPr>
        <w:spacing w:line="300" w:lineRule="auto"/>
      </w:pPr>
      <w:r>
        <w:rPr>
          <w:noProof/>
        </w:rPr>
        <w:drawing>
          <wp:anchor distT="0" distB="0" distL="0" distR="0" simplePos="0" relativeHeight="251643392" behindDoc="0" locked="0" layoutInCell="1" allowOverlap="1" wp14:anchorId="6EC6C9D7" wp14:editId="5B3A1FC9">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7:11</w:t>
      </w:r>
      <w:r>
        <w:rPr>
          <w:rFonts w:ascii="Segoe UI" w:eastAsia="Segoe UI" w:hAnsi="Segoe UI" w:cs="Segoe UI"/>
          <w:color w:val="242424"/>
          <w:sz w:val="24"/>
          <w:szCs w:val="24"/>
        </w:rPr>
        <w:br/>
        <w:t>explicitly the condition with which the student can, you know, use Gen. AI, how it should be disclosed, if you know Gen. AI should be prohibited, for which reason, and so on and so forth. So, again,</w:t>
      </w:r>
      <w:r>
        <w:rPr>
          <w:rFonts w:ascii="Segoe UI" w:eastAsia="Segoe UI" w:hAnsi="Segoe UI" w:cs="Segoe UI"/>
          <w:color w:val="242424"/>
          <w:sz w:val="24"/>
          <w:szCs w:val="24"/>
        </w:rPr>
        <w:br/>
        <w:t>Do you think that this guideline is reasonable, applicable, well formulated?</w:t>
      </w:r>
    </w:p>
    <w:p w14:paraId="0B1C478A" w14:textId="7050D15F"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7:40</w:t>
      </w:r>
      <w:r>
        <w:rPr>
          <w:rFonts w:ascii="Segoe UI" w:eastAsia="Segoe UI" w:hAnsi="Segoe UI" w:cs="Segoe UI"/>
          <w:color w:val="242424"/>
          <w:sz w:val="24"/>
          <w:szCs w:val="24"/>
        </w:rPr>
        <w:br/>
        <w:t>This is definitely a reasonable one.</w:t>
      </w:r>
      <w:r>
        <w:rPr>
          <w:rFonts w:ascii="Segoe UI" w:eastAsia="Segoe UI" w:hAnsi="Segoe UI" w:cs="Segoe UI"/>
          <w:color w:val="242424"/>
          <w:sz w:val="24"/>
          <w:szCs w:val="24"/>
        </w:rPr>
        <w:br/>
        <w:t>Doubt that I have is that it requires.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 kind of honest approach on the other side. So it's something that can be easily, you know, jumped over and or faked in some sense.</w:t>
      </w:r>
    </w:p>
    <w:p w14:paraId="56F140FD" w14:textId="77777777" w:rsidR="00281B6D" w:rsidRDefault="00000000">
      <w:pPr>
        <w:spacing w:line="300" w:lineRule="auto"/>
      </w:pPr>
      <w:r>
        <w:rPr>
          <w:noProof/>
        </w:rPr>
        <w:drawing>
          <wp:anchor distT="0" distB="0" distL="0" distR="0" simplePos="0" relativeHeight="251645440" behindDoc="0" locked="0" layoutInCell="1" allowOverlap="1" wp14:anchorId="35262025" wp14:editId="12ABFE04">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8:15</w:t>
      </w:r>
      <w:r>
        <w:rPr>
          <w:rFonts w:ascii="Segoe UI" w:eastAsia="Segoe UI" w:hAnsi="Segoe UI" w:cs="Segoe UI"/>
          <w:color w:val="242424"/>
          <w:sz w:val="24"/>
          <w:szCs w:val="24"/>
        </w:rPr>
        <w:br/>
        <w:t>Yeah, so basically from the student perspective, right?</w:t>
      </w:r>
    </w:p>
    <w:p w14:paraId="00570B2C" w14:textId="45D06FF0"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8:19</w:t>
      </w:r>
      <w:r>
        <w:rPr>
          <w:rFonts w:ascii="Segoe UI" w:eastAsia="Segoe UI" w:hAnsi="Segoe UI" w:cs="Segoe UI"/>
          <w:color w:val="242424"/>
          <w:sz w:val="24"/>
          <w:szCs w:val="24"/>
        </w:rPr>
        <w:br/>
        <w:t>Yeah, yeah. So there is an issue that if you have something that, I mean, you can state that you have these rules, but then if you have not something that can be reliably good at detecting,</w:t>
      </w:r>
    </w:p>
    <w:p w14:paraId="2654419F" w14:textId="77777777" w:rsidR="00281B6D" w:rsidRDefault="00000000">
      <w:pPr>
        <w:spacing w:line="300" w:lineRule="auto"/>
      </w:pPr>
      <w:r>
        <w:rPr>
          <w:noProof/>
        </w:rPr>
        <w:drawing>
          <wp:anchor distT="0" distB="0" distL="0" distR="0" simplePos="0" relativeHeight="251647488" behindDoc="0" locked="0" layoutInCell="1" allowOverlap="1" wp14:anchorId="12173257" wp14:editId="1EF2FBB0">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8:21</w:t>
      </w:r>
      <w:r>
        <w:rPr>
          <w:rFonts w:ascii="Segoe UI" w:eastAsia="Segoe UI" w:hAnsi="Segoe UI" w:cs="Segoe UI"/>
          <w:color w:val="242424"/>
          <w:sz w:val="24"/>
          <w:szCs w:val="24"/>
        </w:rPr>
        <w:br/>
        <w:t>Okay.</w:t>
      </w:r>
    </w:p>
    <w:p w14:paraId="096631CE" w14:textId="3CD4A473"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8:37</w:t>
      </w:r>
      <w:r>
        <w:rPr>
          <w:rFonts w:ascii="Segoe UI" w:eastAsia="Segoe UI" w:hAnsi="Segoe UI" w:cs="Segoe UI"/>
          <w:color w:val="242424"/>
          <w:sz w:val="24"/>
          <w:szCs w:val="24"/>
        </w:rPr>
        <w:br/>
        <w:t>If there is an infringement, then it's difficult.</w:t>
      </w:r>
    </w:p>
    <w:p w14:paraId="309160D0" w14:textId="77777777" w:rsidR="00281B6D" w:rsidRDefault="00000000">
      <w:pPr>
        <w:spacing w:line="300" w:lineRule="auto"/>
      </w:pPr>
      <w:r>
        <w:rPr>
          <w:noProof/>
        </w:rPr>
        <w:drawing>
          <wp:anchor distT="0" distB="0" distL="0" distR="0" simplePos="0" relativeHeight="251649536" behindDoc="0" locked="0" layoutInCell="1" allowOverlap="1" wp14:anchorId="32BD4EC6" wp14:editId="2383C451">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8:41</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r>
        <w:rPr>
          <w:rFonts w:ascii="Segoe UI" w:eastAsia="Segoe UI" w:hAnsi="Segoe UI" w:cs="Segoe UI"/>
          <w:color w:val="242424"/>
          <w:sz w:val="24"/>
          <w:szCs w:val="24"/>
        </w:rPr>
        <w:br/>
        <w:t>Yes, I mean it makes sense and the...</w:t>
      </w:r>
      <w:r>
        <w:rPr>
          <w:rFonts w:ascii="Segoe UI" w:eastAsia="Segoe UI" w:hAnsi="Segoe UI" w:cs="Segoe UI"/>
          <w:color w:val="242424"/>
          <w:sz w:val="24"/>
          <w:szCs w:val="24"/>
        </w:rPr>
        <w:br/>
        <w:t>Probably this would be a good comment for most of the guidelines.</w:t>
      </w:r>
      <w:r>
        <w:rPr>
          <w:rFonts w:ascii="Segoe UI" w:eastAsia="Segoe UI" w:hAnsi="Segoe UI" w:cs="Segoe UI"/>
          <w:color w:val="242424"/>
          <w:sz w:val="24"/>
          <w:szCs w:val="24"/>
        </w:rPr>
        <w:br/>
        <w:t>Yeah, okay. So then with the three and I mean, actually three to five, essentially the guidelines are slowly moving towards the assessment that we make as educator. So the guideline #3 basically states that</w:t>
      </w:r>
      <w:r>
        <w:rPr>
          <w:rFonts w:ascii="Segoe UI" w:eastAsia="Segoe UI" w:hAnsi="Segoe UI" w:cs="Segoe UI"/>
          <w:color w:val="242424"/>
          <w:sz w:val="24"/>
          <w:szCs w:val="24"/>
        </w:rPr>
        <w:br/>
        <w:t>that when and if the final product that the students are submitting is insufficient to make a judgment on their performance, we should try to require the smallest amount of, you know,</w:t>
      </w:r>
    </w:p>
    <w:p w14:paraId="543BCF26" w14:textId="08FF3B27"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9:34</w:t>
      </w:r>
      <w:r>
        <w:rPr>
          <w:rFonts w:ascii="Segoe UI" w:eastAsia="Segoe UI" w:hAnsi="Segoe UI" w:cs="Segoe UI"/>
          <w:color w:val="242424"/>
          <w:sz w:val="24"/>
          <w:szCs w:val="24"/>
        </w:rPr>
        <w:br/>
        <w:t>Mhm.</w:t>
      </w:r>
    </w:p>
    <w:p w14:paraId="1586B881" w14:textId="77777777" w:rsidR="00281B6D" w:rsidRDefault="00000000">
      <w:pPr>
        <w:spacing w:line="300" w:lineRule="auto"/>
      </w:pPr>
      <w:r>
        <w:rPr>
          <w:noProof/>
        </w:rPr>
        <w:drawing>
          <wp:anchor distT="0" distB="0" distL="0" distR="0" simplePos="0" relativeHeight="251651584" behindDoc="0" locked="0" layoutInCell="1" allowOverlap="1" wp14:anchorId="62835EFB" wp14:editId="64DFAB08">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9:41</w:t>
      </w:r>
      <w:r>
        <w:rPr>
          <w:rFonts w:ascii="Segoe UI" w:eastAsia="Segoe UI" w:hAnsi="Segoe UI" w:cs="Segoe UI"/>
          <w:color w:val="242424"/>
          <w:sz w:val="24"/>
          <w:szCs w:val="24"/>
        </w:rPr>
        <w:br/>
        <w:t xml:space="preserve">process and reasoning evidence. And similarly, or building on this, G4 and G5 state that if Gen. AI could, to some extent, influence the submitted work, the students </w:t>
      </w:r>
      <w:r>
        <w:rPr>
          <w:rFonts w:ascii="Segoe UI" w:eastAsia="Segoe UI" w:hAnsi="Segoe UI" w:cs="Segoe UI"/>
          <w:color w:val="242424"/>
          <w:sz w:val="24"/>
          <w:szCs w:val="24"/>
        </w:rPr>
        <w:lastRenderedPageBreak/>
        <w:t>should be able</w:t>
      </w:r>
      <w:r>
        <w:rPr>
          <w:rFonts w:ascii="Segoe UI" w:eastAsia="Segoe UI" w:hAnsi="Segoe UI" w:cs="Segoe UI"/>
          <w:color w:val="242424"/>
          <w:sz w:val="24"/>
          <w:szCs w:val="24"/>
        </w:rPr>
        <w:br/>
        <w:t>or required rather to explain challenge and improve its output, so the output that they are delivering. And if this is not yet enough, we should use targeted measures such as oral examination, supervised verification, and yeah, to</w:t>
      </w:r>
      <w:r>
        <w:rPr>
          <w:rFonts w:ascii="Segoe UI" w:eastAsia="Segoe UI" w:hAnsi="Segoe UI" w:cs="Segoe UI"/>
          <w:color w:val="242424"/>
          <w:sz w:val="24"/>
          <w:szCs w:val="24"/>
        </w:rPr>
        <w:br/>
        <w:t>to clear every possible doubt. So, I mean, I put these three together just to have a more, you know, organic discussion, but still the question of more or less the same. If you think that those are</w:t>
      </w:r>
      <w:r>
        <w:rPr>
          <w:rFonts w:ascii="Segoe UI" w:eastAsia="Segoe UI" w:hAnsi="Segoe UI" w:cs="Segoe UI"/>
          <w:color w:val="242424"/>
          <w:sz w:val="24"/>
          <w:szCs w:val="24"/>
        </w:rPr>
        <w:br/>
        <w:t>likeable, relevant, and most importantly, if you feel that they miss something.</w:t>
      </w:r>
    </w:p>
    <w:p w14:paraId="6C60DC37" w14:textId="330899AE"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10:49</w:t>
      </w:r>
      <w:r>
        <w:rPr>
          <w:rFonts w:ascii="Segoe UI" w:eastAsia="Segoe UI" w:hAnsi="Segoe UI" w:cs="Segoe UI"/>
          <w:color w:val="242424"/>
          <w:sz w:val="24"/>
          <w:szCs w:val="24"/>
        </w:rPr>
        <w:br/>
        <w:t>No, for actually for G3, I had some problem. I had to read it like two or three times to understand because it was not completely clear to me this thing about the smallest amount of</w:t>
      </w:r>
    </w:p>
    <w:p w14:paraId="5AED2264" w14:textId="77777777" w:rsidR="00281B6D" w:rsidRDefault="00000000">
      <w:pPr>
        <w:spacing w:line="300" w:lineRule="auto"/>
      </w:pPr>
      <w:r>
        <w:rPr>
          <w:noProof/>
        </w:rPr>
        <w:drawing>
          <wp:anchor distT="0" distB="0" distL="0" distR="0" simplePos="0" relativeHeight="251653632" behindDoc="0" locked="0" layoutInCell="1" allowOverlap="1" wp14:anchorId="1DE892A3" wp14:editId="7E4E3CAB">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11:00</w:t>
      </w:r>
      <w:r>
        <w:rPr>
          <w:rFonts w:ascii="Segoe UI" w:eastAsia="Segoe UI" w:hAnsi="Segoe UI" w:cs="Segoe UI"/>
          <w:color w:val="242424"/>
          <w:sz w:val="24"/>
          <w:szCs w:val="24"/>
        </w:rPr>
        <w:br/>
        <w:t>Mhm.</w:t>
      </w:r>
    </w:p>
    <w:p w14:paraId="564D2C45" w14:textId="4D0E0CD2"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11:07</w:t>
      </w:r>
      <w:r>
        <w:rPr>
          <w:rFonts w:ascii="Segoe UI" w:eastAsia="Segoe UI" w:hAnsi="Segoe UI" w:cs="Segoe UI"/>
          <w:color w:val="242424"/>
          <w:sz w:val="24"/>
          <w:szCs w:val="24"/>
        </w:rPr>
        <w:br/>
        <w:t>Process and reasoning evidence.</w:t>
      </w:r>
      <w:r>
        <w:rPr>
          <w:rFonts w:ascii="Segoe UI" w:eastAsia="Segoe UI" w:hAnsi="Segoe UI" w:cs="Segoe UI"/>
          <w:color w:val="242424"/>
          <w:sz w:val="24"/>
          <w:szCs w:val="24"/>
        </w:rPr>
        <w:br/>
        <w:t>So I have been trying to understand what's the kind of underlying goal of going for the smallest amount.</w:t>
      </w:r>
    </w:p>
    <w:p w14:paraId="69A83A04" w14:textId="77777777" w:rsidR="00281B6D" w:rsidRDefault="00000000">
      <w:pPr>
        <w:spacing w:line="300" w:lineRule="auto"/>
      </w:pPr>
      <w:r>
        <w:rPr>
          <w:noProof/>
        </w:rPr>
        <w:drawing>
          <wp:anchor distT="0" distB="0" distL="0" distR="0" simplePos="0" relativeHeight="251655680" behindDoc="0" locked="0" layoutInCell="1" allowOverlap="1" wp14:anchorId="727C89B8" wp14:editId="2EBC48C3">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11:13</w:t>
      </w:r>
      <w:r>
        <w:rPr>
          <w:rFonts w:ascii="Segoe UI" w:eastAsia="Segoe UI" w:hAnsi="Segoe UI" w:cs="Segoe UI"/>
          <w:color w:val="242424"/>
          <w:sz w:val="24"/>
          <w:szCs w:val="24"/>
        </w:rPr>
        <w:br/>
        <w:t>Yes.</w:t>
      </w:r>
      <w:r>
        <w:rPr>
          <w:rFonts w:ascii="Segoe UI" w:eastAsia="Segoe UI" w:hAnsi="Segoe UI" w:cs="Segoe UI"/>
          <w:color w:val="242424"/>
          <w:sz w:val="24"/>
          <w:szCs w:val="24"/>
        </w:rPr>
        <w:br/>
        <w:t>Yeah, I mean, I can of course explain the idea. So again, this is to some extent also in the nature of the guidelines that are somehow</w:t>
      </w:r>
    </w:p>
    <w:p w14:paraId="75C69B51" w14:textId="646B54EE"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11:32</w:t>
      </w:r>
      <w:r>
        <w:rPr>
          <w:rFonts w:ascii="Segoe UI" w:eastAsia="Segoe UI" w:hAnsi="Segoe UI" w:cs="Segoe UI"/>
          <w:color w:val="242424"/>
          <w:sz w:val="24"/>
          <w:szCs w:val="24"/>
        </w:rPr>
        <w:br/>
        <w:t>Mm.</w:t>
      </w:r>
      <w:r>
        <w:rPr>
          <w:rFonts w:ascii="Segoe UI" w:eastAsia="Segoe UI" w:hAnsi="Segoe UI" w:cs="Segoe UI"/>
          <w:color w:val="242424"/>
          <w:sz w:val="24"/>
          <w:szCs w:val="24"/>
        </w:rPr>
        <w:br/>
        <w:t>Mmh.</w:t>
      </w:r>
    </w:p>
    <w:p w14:paraId="5F4179E5" w14:textId="77777777" w:rsidR="00281B6D" w:rsidRDefault="00000000">
      <w:pPr>
        <w:spacing w:line="300" w:lineRule="auto"/>
      </w:pPr>
      <w:r>
        <w:rPr>
          <w:noProof/>
        </w:rPr>
        <w:drawing>
          <wp:anchor distT="0" distB="0" distL="0" distR="0" simplePos="0" relativeHeight="251657728" behindDoc="0" locked="0" layoutInCell="1" allowOverlap="1" wp14:anchorId="53FED45C" wp14:editId="7225B56B">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11:46</w:t>
      </w:r>
      <w:r>
        <w:rPr>
          <w:rFonts w:ascii="Segoe UI" w:eastAsia="Segoe UI" w:hAnsi="Segoe UI" w:cs="Segoe UI"/>
          <w:color w:val="242424"/>
          <w:sz w:val="24"/>
          <w:szCs w:val="24"/>
        </w:rPr>
        <w:br/>
        <w:t>Not not not order, but of course they indicate a progression. So, the idea comes once again from the results that we got from the previous activities, so the SMS and the surveys, where basically it was identified that.</w:t>
      </w:r>
    </w:p>
    <w:p w14:paraId="6DEE2F9D" w14:textId="735C63D4" w:rsidR="00281B6D" w:rsidRDefault="00000000">
      <w:pPr>
        <w:spacing w:line="300" w:lineRule="auto"/>
      </w:pPr>
      <w:r>
        <w:rPr>
          <w:rFonts w:ascii="Segoe UI" w:eastAsia="Segoe UI" w:hAnsi="Segoe UI" w:cs="Segoe UI"/>
          <w:b/>
          <w:bCs/>
          <w:color w:val="616161"/>
          <w:sz w:val="24"/>
          <w:szCs w:val="24"/>
        </w:rPr>
        <w:lastRenderedPageBreak/>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11:51</w:t>
      </w:r>
      <w:r>
        <w:rPr>
          <w:rFonts w:ascii="Segoe UI" w:eastAsia="Segoe UI" w:hAnsi="Segoe UI" w:cs="Segoe UI"/>
          <w:color w:val="242424"/>
          <w:sz w:val="24"/>
          <w:szCs w:val="24"/>
        </w:rPr>
        <w:br/>
        <w:t>Mhm.</w:t>
      </w:r>
    </w:p>
    <w:p w14:paraId="65A589AD" w14:textId="77777777" w:rsidR="00281B6D" w:rsidRDefault="00000000">
      <w:pPr>
        <w:spacing w:line="300" w:lineRule="auto"/>
      </w:pPr>
      <w:r>
        <w:rPr>
          <w:noProof/>
        </w:rPr>
        <w:drawing>
          <wp:anchor distT="0" distB="0" distL="0" distR="0" simplePos="0" relativeHeight="251659776" behindDoc="0" locked="0" layoutInCell="1" allowOverlap="1" wp14:anchorId="6B28EE1A" wp14:editId="1C433C08">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12:05</w:t>
      </w:r>
      <w:r>
        <w:rPr>
          <w:rFonts w:ascii="Segoe UI" w:eastAsia="Segoe UI" w:hAnsi="Segoe UI" w:cs="Segoe UI"/>
          <w:color w:val="242424"/>
          <w:sz w:val="24"/>
          <w:szCs w:val="24"/>
        </w:rPr>
        <w:br/>
        <w:t>So to release doubt on the, for instance, performance of the students or similar things, you could just to say go directly with, for instance, an oral examination or an extensive, for instance, you could ask the students to</w:t>
      </w:r>
      <w:r>
        <w:rPr>
          <w:rFonts w:ascii="Segoe UI" w:eastAsia="Segoe UI" w:hAnsi="Segoe UI" w:cs="Segoe UI"/>
          <w:color w:val="242424"/>
          <w:sz w:val="24"/>
          <w:szCs w:val="24"/>
        </w:rPr>
        <w:br/>
        <w:t>are doing this as a collaborator in a GitHub or anything similar, check every commit and things like that. But this is of course good for making sure that the student, I mean, what this to analyze what the student are doing, but on the other hand, it's not scalable for the educator.</w:t>
      </w:r>
    </w:p>
    <w:p w14:paraId="1A9FA46A" w14:textId="42B39F0F"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12:29</w:t>
      </w:r>
      <w:r>
        <w:rPr>
          <w:rFonts w:ascii="Segoe UI" w:eastAsia="Segoe UI" w:hAnsi="Segoe UI" w:cs="Segoe UI"/>
          <w:color w:val="242424"/>
          <w:sz w:val="24"/>
          <w:szCs w:val="24"/>
        </w:rPr>
        <w:br/>
        <w:t>Mm-hmm.</w:t>
      </w:r>
    </w:p>
    <w:p w14:paraId="797345EE" w14:textId="77777777" w:rsidR="00281B6D" w:rsidRDefault="00000000">
      <w:pPr>
        <w:spacing w:line="300" w:lineRule="auto"/>
      </w:pPr>
      <w:r>
        <w:rPr>
          <w:noProof/>
        </w:rPr>
        <w:drawing>
          <wp:anchor distT="0" distB="0" distL="0" distR="0" simplePos="0" relativeHeight="251661824" behindDoc="0" locked="0" layoutInCell="1" allowOverlap="1" wp14:anchorId="5363EA2A" wp14:editId="3B1B35B5">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12:44</w:t>
      </w:r>
      <w:r>
        <w:rPr>
          <w:rFonts w:ascii="Segoe UI" w:eastAsia="Segoe UI" w:hAnsi="Segoe UI" w:cs="Segoe UI"/>
          <w:color w:val="242424"/>
          <w:sz w:val="24"/>
          <w:szCs w:val="24"/>
        </w:rPr>
        <w:br/>
        <w:t>So the smallest unit here is trying to balance these two aspects. So to provide some evidences that likely or hopefully will be enough for us to understand, but at the same time try to preserve some resources from our end.</w:t>
      </w:r>
      <w:r>
        <w:rPr>
          <w:rFonts w:ascii="Segoe UI" w:eastAsia="Segoe UI" w:hAnsi="Segoe UI" w:cs="Segoe UI"/>
          <w:color w:val="242424"/>
          <w:sz w:val="24"/>
          <w:szCs w:val="24"/>
        </w:rPr>
        <w:br/>
        <w:t>and only go, let's say, full scale with the oral examination or supervised examination when the doubt cannot be cleared otherwise.</w:t>
      </w:r>
    </w:p>
    <w:p w14:paraId="564EA9FB" w14:textId="4B0AE52A"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13:13</w:t>
      </w:r>
      <w:r>
        <w:rPr>
          <w:rFonts w:ascii="Segoe UI" w:eastAsia="Segoe UI" w:hAnsi="Segoe UI" w:cs="Segoe UI"/>
          <w:color w:val="242424"/>
          <w:sz w:val="24"/>
          <w:szCs w:val="24"/>
        </w:rPr>
        <w:br/>
        <w:t>Okay, then yes, yeah, yeah. Now I see the point, yeah.</w:t>
      </w:r>
    </w:p>
    <w:p w14:paraId="22DBD907" w14:textId="77777777" w:rsidR="00281B6D" w:rsidRDefault="00000000">
      <w:pPr>
        <w:spacing w:line="300" w:lineRule="auto"/>
      </w:pPr>
      <w:r>
        <w:rPr>
          <w:noProof/>
        </w:rPr>
        <w:drawing>
          <wp:anchor distT="0" distB="0" distL="0" distR="0" simplePos="0" relativeHeight="251663872" behindDoc="0" locked="0" layoutInCell="1" allowOverlap="1" wp14:anchorId="1CFC9EA1" wp14:editId="225E5624">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13:20</w:t>
      </w:r>
      <w:r>
        <w:rPr>
          <w:rFonts w:ascii="Segoe UI" w:eastAsia="Segoe UI" w:hAnsi="Segoe UI" w:cs="Segoe UI"/>
          <w:color w:val="242424"/>
          <w:sz w:val="24"/>
          <w:szCs w:val="24"/>
        </w:rPr>
        <w:br/>
        <w:t>Okay, yeah, I tried at the beginning, I try not to explain so much the or rendering the discussion of the guidelines because I don't want to, let's say, bias your view, but it's good if you have question that you, yeah, I will clarify.</w:t>
      </w:r>
    </w:p>
    <w:p w14:paraId="6721A906" w14:textId="1B52810C"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13:35</w:t>
      </w:r>
      <w:r>
        <w:rPr>
          <w:rFonts w:ascii="Segoe UI" w:eastAsia="Segoe UI" w:hAnsi="Segoe UI" w:cs="Segoe UI"/>
          <w:color w:val="242424"/>
          <w:sz w:val="24"/>
          <w:szCs w:val="24"/>
        </w:rPr>
        <w:br/>
        <w:t>Mhm.</w:t>
      </w:r>
      <w:r>
        <w:rPr>
          <w:rFonts w:ascii="Segoe UI" w:eastAsia="Segoe UI" w:hAnsi="Segoe UI" w:cs="Segoe UI"/>
          <w:color w:val="242424"/>
          <w:sz w:val="24"/>
          <w:szCs w:val="24"/>
        </w:rPr>
        <w:br/>
        <w:t>No, okay. 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No, no, no. Now I understand the point. And yes, I totally agree that the kind of examination that can potentially require this Gen. AI does not scale. So we...</w:t>
      </w:r>
    </w:p>
    <w:p w14:paraId="115E2FF6" w14:textId="77777777" w:rsidR="00281B6D" w:rsidRDefault="00000000">
      <w:pPr>
        <w:spacing w:line="300" w:lineRule="auto"/>
      </w:pPr>
      <w:r>
        <w:rPr>
          <w:noProof/>
        </w:rPr>
        <w:drawing>
          <wp:anchor distT="0" distB="0" distL="0" distR="0" simplePos="0" relativeHeight="251665920" behindDoc="0" locked="0" layoutInCell="1" allowOverlap="1" wp14:anchorId="51F821AA" wp14:editId="37305518">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13:41</w:t>
      </w:r>
      <w:r>
        <w:rPr>
          <w:rFonts w:ascii="Segoe UI" w:eastAsia="Segoe UI" w:hAnsi="Segoe UI" w:cs="Segoe UI"/>
          <w:color w:val="242424"/>
          <w:sz w:val="24"/>
          <w:szCs w:val="24"/>
        </w:rPr>
        <w:br/>
        <w:t>Um...</w:t>
      </w:r>
      <w:r>
        <w:rPr>
          <w:rFonts w:ascii="Segoe UI" w:eastAsia="Segoe UI" w:hAnsi="Segoe UI" w:cs="Segoe UI"/>
          <w:color w:val="242424"/>
          <w:sz w:val="24"/>
          <w:szCs w:val="24"/>
        </w:rPr>
        <w:br/>
        <w:t>Yeah, except.</w:t>
      </w:r>
      <w:r>
        <w:rPr>
          <w:rFonts w:ascii="Segoe UI" w:eastAsia="Segoe UI" w:hAnsi="Segoe UI" w:cs="Segoe UI"/>
          <w:color w:val="242424"/>
          <w:sz w:val="24"/>
          <w:szCs w:val="24"/>
        </w:rPr>
        <w:br/>
        <w:t>So, G6 is about, I mean, it's rather, let's say,</w:t>
      </w:r>
      <w:r>
        <w:rPr>
          <w:rFonts w:ascii="Segoe UI" w:eastAsia="Segoe UI" w:hAnsi="Segoe UI" w:cs="Segoe UI"/>
          <w:color w:val="242424"/>
          <w:sz w:val="24"/>
          <w:szCs w:val="24"/>
        </w:rPr>
        <w:br/>
        <w:t>So, it's a guideline that essentially suggests that we, as an indicator,</w:t>
      </w:r>
      <w:r>
        <w:rPr>
          <w:rFonts w:ascii="Segoe UI" w:eastAsia="Segoe UI" w:hAnsi="Segoe UI" w:cs="Segoe UI"/>
          <w:color w:val="242424"/>
          <w:sz w:val="24"/>
          <w:szCs w:val="24"/>
        </w:rPr>
        <w:br/>
        <w:t>specify the rules on Gen. AI, but for this matter, any other, you know, aiding tool and tailor their use with respect to the assessment format and also within the assessment format for the different phases required from the assessment format. And here I can give you, for</w:t>
      </w:r>
      <w:r>
        <w:rPr>
          <w:rFonts w:ascii="Segoe UI" w:eastAsia="Segoe UI" w:hAnsi="Segoe UI" w:cs="Segoe UI"/>
          <w:color w:val="242424"/>
          <w:sz w:val="24"/>
          <w:szCs w:val="24"/>
        </w:rPr>
        <w:br/>
        <w:t>maybe a little bit of context for assessment format. Clearly, we refer to the common kind of different examination that you may have. So I guess in the whole world, you may have something like written examination where the students are in class, supervised. You may have laboratories or you may have take home tasks, things like that.</w:t>
      </w:r>
      <w:r>
        <w:rPr>
          <w:rFonts w:ascii="Segoe UI" w:eastAsia="Segoe UI" w:hAnsi="Segoe UI" w:cs="Segoe UI"/>
          <w:color w:val="242424"/>
          <w:sz w:val="24"/>
          <w:szCs w:val="24"/>
        </w:rPr>
        <w:br/>
        <w:t>And within this different, so this would be categorized as different kind of examination, but also within a single examination, there might be different moments where Gen. AI can or cannot be used. For instance, preparation for a task may, let's say,</w:t>
      </w:r>
    </w:p>
    <w:p w14:paraId="6562AF9B" w14:textId="35C4A795"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15:23</w:t>
      </w:r>
      <w:r>
        <w:rPr>
          <w:rFonts w:ascii="Segoe UI" w:eastAsia="Segoe UI" w:hAnsi="Segoe UI" w:cs="Segoe UI"/>
          <w:color w:val="242424"/>
          <w:sz w:val="24"/>
          <w:szCs w:val="24"/>
        </w:rPr>
        <w:br/>
        <w:t>Mhm.</w:t>
      </w:r>
      <w:r>
        <w:rPr>
          <w:rFonts w:ascii="Segoe UI" w:eastAsia="Segoe UI" w:hAnsi="Segoe UI" w:cs="Segoe UI"/>
          <w:color w:val="242424"/>
          <w:sz w:val="24"/>
          <w:szCs w:val="24"/>
        </w:rPr>
        <w:br/>
        <w:t>And.</w:t>
      </w:r>
    </w:p>
    <w:p w14:paraId="15F7B2D7" w14:textId="77777777" w:rsidR="00281B6D" w:rsidRDefault="00000000">
      <w:pPr>
        <w:spacing w:line="300" w:lineRule="auto"/>
      </w:pPr>
      <w:r>
        <w:rPr>
          <w:noProof/>
        </w:rPr>
        <w:drawing>
          <wp:anchor distT="0" distB="0" distL="0" distR="0" simplePos="0" relativeHeight="251667968" behindDoc="0" locked="0" layoutInCell="1" allowOverlap="1" wp14:anchorId="091422C2" wp14:editId="648624BF">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15:29</w:t>
      </w:r>
      <w:r>
        <w:rPr>
          <w:rFonts w:ascii="Segoe UI" w:eastAsia="Segoe UI" w:hAnsi="Segoe UI" w:cs="Segoe UI"/>
          <w:color w:val="242424"/>
          <w:sz w:val="24"/>
          <w:szCs w:val="24"/>
        </w:rPr>
        <w:br/>
        <w:t>written examination that is done in the university, then Jan AI may be used as a, you know, learning assistant or anything similar. So this is essentially the core of the guideline. So again, how do you see this guideline?</w:t>
      </w:r>
      <w:r>
        <w:rPr>
          <w:rFonts w:ascii="Segoe UI" w:eastAsia="Segoe UI" w:hAnsi="Segoe UI" w:cs="Segoe UI"/>
          <w:color w:val="242424"/>
          <w:sz w:val="24"/>
          <w:szCs w:val="24"/>
        </w:rPr>
        <w:br/>
        <w:t>Does it mean anything to you or?</w:t>
      </w:r>
    </w:p>
    <w:p w14:paraId="5A949A4D" w14:textId="2EC9BA3C"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15:53</w:t>
      </w:r>
      <w:r>
        <w:rPr>
          <w:rFonts w:ascii="Segoe UI" w:eastAsia="Segoe UI" w:hAnsi="Segoe UI" w:cs="Segoe UI"/>
          <w:color w:val="242424"/>
          <w:sz w:val="24"/>
          <w:szCs w:val="24"/>
        </w:rPr>
        <w:br/>
        <w:t>I think here comes clear the point that I was telling you before. So in some sense, there is a kind of underlying assumption or an implicit distinction between what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Can be really what kind of tasks and examinations can be?</w:t>
      </w:r>
      <w:r>
        <w:rPr>
          <w:rFonts w:ascii="Segoe UI" w:eastAsia="Segoe UI" w:hAnsi="Segoe UI" w:cs="Segoe UI"/>
          <w:color w:val="242424"/>
          <w:sz w:val="24"/>
          <w:szCs w:val="24"/>
        </w:rPr>
        <w:br/>
        <w:t>manage or work better with the Gen. AI into play and others that instead make things by far more complicated.</w:t>
      </w:r>
    </w:p>
    <w:p w14:paraId="11F05EA8" w14:textId="77777777" w:rsidR="00281B6D" w:rsidRDefault="00000000">
      <w:pPr>
        <w:spacing w:line="300" w:lineRule="auto"/>
      </w:pPr>
      <w:r>
        <w:rPr>
          <w:noProof/>
        </w:rPr>
        <w:drawing>
          <wp:anchor distT="0" distB="0" distL="0" distR="0" simplePos="0" relativeHeight="251670016" behindDoc="0" locked="0" layoutInCell="1" allowOverlap="1" wp14:anchorId="2EF28858" wp14:editId="29656885">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16:35</w:t>
      </w:r>
      <w:r>
        <w:rPr>
          <w:rFonts w:ascii="Segoe UI" w:eastAsia="Segoe UI" w:hAnsi="Segoe UI" w:cs="Segoe UI"/>
          <w:color w:val="242424"/>
          <w:sz w:val="24"/>
          <w:szCs w:val="24"/>
        </w:rPr>
        <w:br/>
        <w:t>Mm.</w:t>
      </w:r>
      <w:r>
        <w:rPr>
          <w:rFonts w:ascii="Segoe UI" w:eastAsia="Segoe UI" w:hAnsi="Segoe UI" w:cs="Segoe UI"/>
          <w:color w:val="242424"/>
          <w:sz w:val="24"/>
          <w:szCs w:val="24"/>
        </w:rPr>
        <w:br/>
        <w:t>Yeah, I mean, clearly there are some kind of examination that are hard to control, let's say.</w:t>
      </w:r>
    </w:p>
    <w:p w14:paraId="4D6C0EF9" w14:textId="1D048E4F"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16:52</w:t>
      </w:r>
      <w:r>
        <w:rPr>
          <w:rFonts w:ascii="Segoe UI" w:eastAsia="Segoe UI" w:hAnsi="Segoe UI" w:cs="Segoe UI"/>
          <w:color w:val="242424"/>
          <w:sz w:val="24"/>
          <w:szCs w:val="24"/>
        </w:rPr>
        <w:br/>
        <w:t>Mm.</w:t>
      </w:r>
    </w:p>
    <w:p w14:paraId="45874C49" w14:textId="77777777" w:rsidR="00281B6D" w:rsidRDefault="00000000">
      <w:pPr>
        <w:spacing w:line="300" w:lineRule="auto"/>
      </w:pPr>
      <w:r>
        <w:rPr>
          <w:noProof/>
        </w:rPr>
        <w:drawing>
          <wp:anchor distT="0" distB="0" distL="0" distR="0" simplePos="0" relativeHeight="251672064" behindDoc="0" locked="0" layoutInCell="1" allowOverlap="1" wp14:anchorId="4EB85380" wp14:editId="10682FF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16:54</w:t>
      </w:r>
      <w:r>
        <w:rPr>
          <w:rFonts w:ascii="Segoe UI" w:eastAsia="Segoe UI" w:hAnsi="Segoe UI" w:cs="Segoe UI"/>
          <w:color w:val="242424"/>
          <w:sz w:val="24"/>
          <w:szCs w:val="24"/>
        </w:rPr>
        <w:br/>
        <w:t>OK, so the last the last guideline is stand is basically.</w:t>
      </w:r>
      <w:r>
        <w:rPr>
          <w:rFonts w:ascii="Segoe UI" w:eastAsia="Segoe UI" w:hAnsi="Segoe UI" w:cs="Segoe UI"/>
          <w:color w:val="242424"/>
          <w:sz w:val="24"/>
          <w:szCs w:val="24"/>
        </w:rPr>
        <w:br/>
        <w:t>Also, maybe looking at our pedagogical role that is essentially try to teach the responsible and transparent use, and this maybe relates also with the comments that you made until now. Try to teach the transparent and responsible use of Gen. AI or whatever other technology can arrive to the students when they</w:t>
      </w:r>
    </w:p>
    <w:p w14:paraId="72866096" w14:textId="302AE147"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17:18</w:t>
      </w:r>
      <w:r>
        <w:rPr>
          <w:rFonts w:ascii="Segoe UI" w:eastAsia="Segoe UI" w:hAnsi="Segoe UI" w:cs="Segoe UI"/>
          <w:color w:val="242424"/>
          <w:sz w:val="24"/>
          <w:szCs w:val="24"/>
        </w:rPr>
        <w:br/>
        <w:t>Mhm.</w:t>
      </w:r>
    </w:p>
    <w:p w14:paraId="2834530E" w14:textId="77777777" w:rsidR="00281B6D" w:rsidRDefault="00000000">
      <w:pPr>
        <w:spacing w:line="300" w:lineRule="auto"/>
      </w:pPr>
      <w:r>
        <w:rPr>
          <w:noProof/>
        </w:rPr>
        <w:drawing>
          <wp:anchor distT="0" distB="0" distL="0" distR="0" simplePos="0" relativeHeight="251674112" behindDoc="0" locked="0" layoutInCell="1" allowOverlap="1" wp14:anchorId="4049A1EC" wp14:editId="63D5B0AD">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17:28</w:t>
      </w:r>
      <w:r>
        <w:rPr>
          <w:rFonts w:ascii="Segoe UI" w:eastAsia="Segoe UI" w:hAnsi="Segoe UI" w:cs="Segoe UI"/>
          <w:color w:val="242424"/>
          <w:sz w:val="24"/>
          <w:szCs w:val="24"/>
        </w:rPr>
        <w:br/>
        <w:t>Are allowed to use this sort of this sort of tools.</w:t>
      </w:r>
    </w:p>
    <w:p w14:paraId="7A62FD99" w14:textId="4687BB98"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17:36</w:t>
      </w:r>
      <w:r>
        <w:rPr>
          <w:rFonts w:ascii="Segoe UI" w:eastAsia="Segoe UI" w:hAnsi="Segoe UI" w:cs="Segoe UI"/>
          <w:color w:val="242424"/>
          <w:sz w:val="24"/>
          <w:szCs w:val="24"/>
        </w:rPr>
        <w:br/>
        <w:t>Yeah, this I totally agree. Because at the end, they are the new tools. They are simply much more powerful than before. But at the end, we can expect that</w:t>
      </w:r>
      <w:r>
        <w:rPr>
          <w:rFonts w:ascii="Segoe UI" w:eastAsia="Segoe UI" w:hAnsi="Segoe UI" w:cs="Segoe UI"/>
          <w:color w:val="242424"/>
          <w:sz w:val="24"/>
          <w:szCs w:val="24"/>
        </w:rPr>
        <w:br/>
        <w:t>people will use more and more Gen. AI anyway, because that's anyway, it's a boost in the production. So it's something that is reasonable to use.</w:t>
      </w:r>
    </w:p>
    <w:p w14:paraId="42A7DBA8" w14:textId="77777777" w:rsidR="00281B6D" w:rsidRDefault="00000000">
      <w:pPr>
        <w:spacing w:line="300" w:lineRule="auto"/>
      </w:pPr>
      <w:r>
        <w:rPr>
          <w:noProof/>
        </w:rPr>
        <w:drawing>
          <wp:anchor distT="0" distB="0" distL="0" distR="0" simplePos="0" relativeHeight="251676160" behindDoc="0" locked="0" layoutInCell="1" allowOverlap="1" wp14:anchorId="4C154FED" wp14:editId="68A82085">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18:06</w:t>
      </w:r>
      <w:r>
        <w:rPr>
          <w:rFonts w:ascii="Segoe UI" w:eastAsia="Segoe UI" w:hAnsi="Segoe UI" w:cs="Segoe UI"/>
          <w:color w:val="242424"/>
          <w:sz w:val="24"/>
          <w:szCs w:val="24"/>
        </w:rPr>
        <w:br/>
        <w:t>Yeah.</w:t>
      </w:r>
    </w:p>
    <w:p w14:paraId="3CA28649" w14:textId="5C7E95FF"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18:07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Again, yes, there is this thing, of course, that...</w:t>
      </w:r>
      <w:r>
        <w:rPr>
          <w:rFonts w:ascii="Segoe UI" w:eastAsia="Segoe UI" w:hAnsi="Segoe UI" w:cs="Segoe UI"/>
          <w:color w:val="242424"/>
          <w:sz w:val="24"/>
          <w:szCs w:val="24"/>
        </w:rPr>
        <w:br/>
        <w:t>If you do not.</w:t>
      </w:r>
      <w:r>
        <w:rPr>
          <w:rFonts w:ascii="Segoe UI" w:eastAsia="Segoe UI" w:hAnsi="Segoe UI" w:cs="Segoe UI"/>
          <w:color w:val="242424"/>
          <w:sz w:val="24"/>
          <w:szCs w:val="24"/>
        </w:rPr>
        <w:br/>
        <w:t>learn enough, then the risk is that you delegate completely the tasks to Jan AI.</w:t>
      </w:r>
    </w:p>
    <w:p w14:paraId="42067895" w14:textId="77777777" w:rsidR="00281B6D" w:rsidRDefault="00000000">
      <w:pPr>
        <w:spacing w:line="300" w:lineRule="auto"/>
      </w:pPr>
      <w:r>
        <w:rPr>
          <w:noProof/>
        </w:rPr>
        <w:drawing>
          <wp:anchor distT="0" distB="0" distL="0" distR="0" simplePos="0" relativeHeight="251678208" behindDoc="0" locked="0" layoutInCell="1" allowOverlap="1" wp14:anchorId="12823A77" wp14:editId="2909AF64">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18:27</w:t>
      </w:r>
      <w:r>
        <w:rPr>
          <w:rFonts w:ascii="Segoe UI" w:eastAsia="Segoe UI" w:hAnsi="Segoe UI" w:cs="Segoe UI"/>
          <w:color w:val="242424"/>
          <w:sz w:val="24"/>
          <w:szCs w:val="24"/>
        </w:rPr>
        <w:br/>
        <w:t>Yeah, yeah, indeed.</w:t>
      </w:r>
      <w:r>
        <w:rPr>
          <w:rFonts w:ascii="Segoe UI" w:eastAsia="Segoe UI" w:hAnsi="Segoe UI" w:cs="Segoe UI"/>
          <w:color w:val="242424"/>
          <w:sz w:val="24"/>
          <w:szCs w:val="24"/>
        </w:rPr>
        <w:br/>
        <w:t>Okay, so those were the all the guidelines. And before wrapping the interview, I would like to go back a little bit to looking at the overall set of guidelines and just give you the chance to, you know, once again, maybe</w:t>
      </w:r>
      <w:r>
        <w:rPr>
          <w:rFonts w:ascii="Segoe UI" w:eastAsia="Segoe UI" w:hAnsi="Segoe UI" w:cs="Segoe UI"/>
          <w:color w:val="242424"/>
          <w:sz w:val="24"/>
          <w:szCs w:val="24"/>
        </w:rPr>
        <w:br/>
        <w:t>reason on which one, which of, if you feel that there is like a guideline that maybe is weaker or on the other hand, there is a guideline that is stronger. And most importantly, if you also feel that maybe these guidelines may have, you know, like,</w:t>
      </w:r>
      <w:r>
        <w:rPr>
          <w:rFonts w:ascii="Segoe UI" w:eastAsia="Segoe UI" w:hAnsi="Segoe UI" w:cs="Segoe UI"/>
          <w:color w:val="242424"/>
          <w:sz w:val="24"/>
          <w:szCs w:val="24"/>
        </w:rPr>
        <w:br/>
        <w:t>unintended consequences. I mean, bad or good, mostly bad.</w:t>
      </w:r>
    </w:p>
    <w:p w14:paraId="0D4CD2B6" w14:textId="53BFB555"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19:22</w:t>
      </w:r>
      <w:r>
        <w:rPr>
          <w:rFonts w:ascii="Segoe UI" w:eastAsia="Segoe UI" w:hAnsi="Segoe UI" w:cs="Segoe UI"/>
          <w:color w:val="242424"/>
          <w:sz w:val="24"/>
          <w:szCs w:val="24"/>
        </w:rPr>
        <w:br/>
        <w:t>Is.</w:t>
      </w:r>
      <w:r>
        <w:rPr>
          <w:rFonts w:ascii="Segoe UI" w:eastAsia="Segoe UI" w:hAnsi="Segoe UI" w:cs="Segoe UI"/>
          <w:color w:val="242424"/>
          <w:sz w:val="24"/>
          <w:szCs w:val="24"/>
        </w:rPr>
        <w:br/>
        <w:t>Mm.</w:t>
      </w:r>
      <w:r>
        <w:rPr>
          <w:rFonts w:ascii="Segoe UI" w:eastAsia="Segoe UI" w:hAnsi="Segoe UI" w:cs="Segoe UI"/>
          <w:color w:val="242424"/>
          <w:sz w:val="24"/>
          <w:szCs w:val="24"/>
        </w:rPr>
        <w:br/>
        <w:t>Uh...</w:t>
      </w:r>
      <w:r>
        <w:rPr>
          <w:rFonts w:ascii="Segoe UI" w:eastAsia="Segoe UI" w:hAnsi="Segoe UI" w:cs="Segoe UI"/>
          <w:color w:val="242424"/>
          <w:sz w:val="24"/>
          <w:szCs w:val="24"/>
        </w:rPr>
        <w:br/>
        <w:t>No, I'm one.</w:t>
      </w:r>
      <w:r>
        <w:rPr>
          <w:rFonts w:ascii="Segoe UI" w:eastAsia="Segoe UI" w:hAnsi="Segoe UI" w:cs="Segoe UI"/>
          <w:color w:val="242424"/>
          <w:sz w:val="24"/>
          <w:szCs w:val="24"/>
        </w:rPr>
        <w:br/>
        <w:t>kind of general reflection that I have on these guidelines is that</w:t>
      </w:r>
      <w:r>
        <w:rPr>
          <w:rFonts w:ascii="Segoe UI" w:eastAsia="Segoe UI" w:hAnsi="Segoe UI" w:cs="Segoe UI"/>
          <w:color w:val="242424"/>
          <w:sz w:val="24"/>
          <w:szCs w:val="24"/>
        </w:rPr>
        <w:br/>
        <w:t>My feeling is that for software engineers...</w:t>
      </w:r>
      <w:r>
        <w:rPr>
          <w:rFonts w:ascii="Segoe UI" w:eastAsia="Segoe UI" w:hAnsi="Segoe UI" w:cs="Segoe UI"/>
          <w:color w:val="242424"/>
          <w:sz w:val="24"/>
          <w:szCs w:val="24"/>
        </w:rPr>
        <w:br/>
        <w:t>or computer scientists, this problem.</w:t>
      </w:r>
      <w:r>
        <w:rPr>
          <w:rFonts w:ascii="Segoe UI" w:eastAsia="Segoe UI" w:hAnsi="Segoe UI" w:cs="Segoe UI"/>
          <w:color w:val="242424"/>
          <w:sz w:val="24"/>
          <w:szCs w:val="24"/>
        </w:rPr>
        <w:br/>
        <w:t>of Jan AI and so on is much clearer than people in other disciplines.</w:t>
      </w:r>
      <w:r>
        <w:rPr>
          <w:rFonts w:ascii="Segoe UI" w:eastAsia="Segoe UI" w:hAnsi="Segoe UI" w:cs="Segoe UI"/>
          <w:color w:val="242424"/>
          <w:sz w:val="24"/>
          <w:szCs w:val="24"/>
        </w:rPr>
        <w:br/>
        <w:t>So, I think that in general, the guidelines are good.</w:t>
      </w:r>
      <w:r>
        <w:rPr>
          <w:rFonts w:ascii="Segoe UI" w:eastAsia="Segoe UI" w:hAnsi="Segoe UI" w:cs="Segoe UI"/>
          <w:color w:val="242424"/>
          <w:sz w:val="24"/>
          <w:szCs w:val="24"/>
        </w:rPr>
        <w:br/>
        <w:t>and can even be a good clarification for people that are not expert of computer science. So I might be wrong, but my general feeling is that there are several</w:t>
      </w:r>
      <w:r>
        <w:rPr>
          <w:rFonts w:ascii="Segoe UI" w:eastAsia="Segoe UI" w:hAnsi="Segoe UI" w:cs="Segoe UI"/>
          <w:color w:val="242424"/>
          <w:sz w:val="24"/>
          <w:szCs w:val="24"/>
        </w:rPr>
        <w:br/>
        <w:t>domains and disciplines that really do not realize what is the power of these technologies.</w:t>
      </w:r>
    </w:p>
    <w:p w14:paraId="573C36C7" w14:textId="77777777" w:rsidR="00281B6D" w:rsidRDefault="00000000">
      <w:pPr>
        <w:spacing w:line="300" w:lineRule="auto"/>
      </w:pPr>
      <w:r>
        <w:rPr>
          <w:noProof/>
        </w:rPr>
        <w:drawing>
          <wp:anchor distT="0" distB="0" distL="0" distR="0" simplePos="0" relativeHeight="251680256" behindDoc="0" locked="0" layoutInCell="1" allowOverlap="1" wp14:anchorId="70211D88" wp14:editId="4176CF90">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20:47</w:t>
      </w:r>
      <w:r>
        <w:rPr>
          <w:rFonts w:ascii="Segoe UI" w:eastAsia="Segoe UI" w:hAnsi="Segoe UI" w:cs="Segoe UI"/>
          <w:color w:val="242424"/>
          <w:sz w:val="24"/>
          <w:szCs w:val="24"/>
        </w:rPr>
        <w:br/>
        <w:t>Okay, and I mean, do you have examples or in mind of this domain or?</w:t>
      </w:r>
    </w:p>
    <w:p w14:paraId="3C0E6602" w14:textId="135CD0D9"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20:47</w:t>
      </w:r>
      <w:r>
        <w:rPr>
          <w:rFonts w:ascii="Segoe UI" w:eastAsia="Segoe UI" w:hAnsi="Segoe UI" w:cs="Segoe UI"/>
          <w:color w:val="242424"/>
          <w:sz w:val="24"/>
          <w:szCs w:val="24"/>
        </w:rPr>
        <w:br/>
        <w:t>And.</w:t>
      </w:r>
      <w:r>
        <w:rPr>
          <w:rFonts w:ascii="Segoe UI" w:eastAsia="Segoe UI" w:hAnsi="Segoe UI" w:cs="Segoe UI"/>
          <w:color w:val="242424"/>
          <w:sz w:val="24"/>
          <w:szCs w:val="24"/>
        </w:rPr>
        <w:br/>
        <w:t>I can't think of this kind of domains in which you have to basically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write any sort of reports or this kind of things where basically generally I can completely invent things from scratch.</w:t>
      </w:r>
    </w:p>
    <w:p w14:paraId="0F6C1BEB" w14:textId="77777777" w:rsidR="00281B6D" w:rsidRDefault="00000000">
      <w:pPr>
        <w:spacing w:line="300" w:lineRule="auto"/>
      </w:pPr>
      <w:r>
        <w:rPr>
          <w:noProof/>
        </w:rPr>
        <w:drawing>
          <wp:anchor distT="0" distB="0" distL="0" distR="0" simplePos="0" relativeHeight="251682304" behindDoc="0" locked="0" layoutInCell="1" allowOverlap="1" wp14:anchorId="5CEB29FD" wp14:editId="44B6C5E5">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21:17</w:t>
      </w:r>
      <w:r>
        <w:rPr>
          <w:rFonts w:ascii="Segoe UI" w:eastAsia="Segoe UI" w:hAnsi="Segoe UI" w:cs="Segoe UI"/>
          <w:color w:val="242424"/>
          <w:sz w:val="24"/>
          <w:szCs w:val="24"/>
        </w:rPr>
        <w:br/>
        <w:t>Yeah, okay, yes.</w:t>
      </w:r>
      <w:r>
        <w:rPr>
          <w:rFonts w:ascii="Segoe UI" w:eastAsia="Segoe UI" w:hAnsi="Segoe UI" w:cs="Segoe UI"/>
          <w:color w:val="242424"/>
          <w:sz w:val="24"/>
          <w:szCs w:val="24"/>
        </w:rPr>
        <w:br/>
        <w:t>Yes, right, we finished more or less the time, so just wanted to make sure.</w:t>
      </w:r>
      <w:r>
        <w:rPr>
          <w:rFonts w:ascii="Segoe UI" w:eastAsia="Segoe UI" w:hAnsi="Segoe UI" w:cs="Segoe UI"/>
          <w:color w:val="242424"/>
          <w:sz w:val="24"/>
          <w:szCs w:val="24"/>
        </w:rPr>
        <w:br/>
        <w:t>I mean, I asked you several times if you feel that, if you felt that the guidelines were sufficiently clear and so on. But one thing that I did not ask is if you feel that, if there was something that you wanted to talk or you hoped</w:t>
      </w:r>
      <w:r>
        <w:rPr>
          <w:rFonts w:ascii="Segoe UI" w:eastAsia="Segoe UI" w:hAnsi="Segoe UI" w:cs="Segoe UI"/>
          <w:color w:val="242424"/>
          <w:sz w:val="24"/>
          <w:szCs w:val="24"/>
        </w:rPr>
        <w:br/>
        <w:t>that emerged during our interview, but that I did not ask. And so maybe just to have a chance to, yeah, to discuss it before closing, close the interview.</w:t>
      </w:r>
    </w:p>
    <w:p w14:paraId="4177BAE5" w14:textId="1C78B707"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22:12</w:t>
      </w:r>
      <w:r>
        <w:rPr>
          <w:rFonts w:ascii="Segoe UI" w:eastAsia="Segoe UI" w:hAnsi="Segoe UI" w:cs="Segoe UI"/>
          <w:color w:val="242424"/>
          <w:sz w:val="24"/>
          <w:szCs w:val="24"/>
        </w:rPr>
        <w:br/>
        <w:t>There is one thing that I...</w:t>
      </w:r>
      <w:r>
        <w:rPr>
          <w:rFonts w:ascii="Segoe UI" w:eastAsia="Segoe UI" w:hAnsi="Segoe UI" w:cs="Segoe UI"/>
          <w:color w:val="242424"/>
          <w:sz w:val="24"/>
          <w:szCs w:val="24"/>
        </w:rPr>
        <w:br/>
        <w:t>I think it would be good to take into account. I don't know how honestly, but...</w:t>
      </w:r>
      <w:r>
        <w:rPr>
          <w:rFonts w:ascii="Segoe UI" w:eastAsia="Segoe UI" w:hAnsi="Segoe UI" w:cs="Segoe UI"/>
          <w:color w:val="242424"/>
          <w:sz w:val="24"/>
          <w:szCs w:val="24"/>
        </w:rPr>
        <w:br/>
        <w:t>One part that is missing is the fact that, with these guidelines, you have a view that is course by course.</w:t>
      </w:r>
    </w:p>
    <w:p w14:paraId="2949C9B2" w14:textId="77777777" w:rsidR="00281B6D" w:rsidRDefault="00000000">
      <w:pPr>
        <w:spacing w:line="300" w:lineRule="auto"/>
      </w:pPr>
      <w:r>
        <w:rPr>
          <w:noProof/>
        </w:rPr>
        <w:drawing>
          <wp:anchor distT="0" distB="0" distL="0" distR="0" simplePos="0" relativeHeight="251684352" behindDoc="0" locked="0" layoutInCell="1" allowOverlap="1" wp14:anchorId="7ACA6639" wp14:editId="41C095FD">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22:42</w:t>
      </w:r>
      <w:r>
        <w:rPr>
          <w:rFonts w:ascii="Segoe UI" w:eastAsia="Segoe UI" w:hAnsi="Segoe UI" w:cs="Segoe UI"/>
          <w:color w:val="242424"/>
          <w:sz w:val="24"/>
          <w:szCs w:val="24"/>
        </w:rPr>
        <w:br/>
        <w:t>Yes.</w:t>
      </w:r>
    </w:p>
    <w:p w14:paraId="0ECB77BA" w14:textId="7C0D44E2"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22:43</w:t>
      </w:r>
      <w:r>
        <w:rPr>
          <w:rFonts w:ascii="Segoe UI" w:eastAsia="Segoe UI" w:hAnsi="Segoe UI" w:cs="Segoe UI"/>
          <w:color w:val="242424"/>
          <w:sz w:val="24"/>
          <w:szCs w:val="24"/>
        </w:rPr>
        <w:br/>
        <w:t>While my feeling is that more and more we will need a kind of examination that checks the student for the students for larger</w:t>
      </w:r>
      <w:r>
        <w:rPr>
          <w:rFonts w:ascii="Segoe UI" w:eastAsia="Segoe UI" w:hAnsi="Segoe UI" w:cs="Segoe UI"/>
          <w:color w:val="242424"/>
          <w:sz w:val="24"/>
          <w:szCs w:val="24"/>
        </w:rPr>
        <w:br/>
        <w:t>portions, so a cluster of several courses or even a complete specialization. So after one year of software engineering students, you make an examination about what has been taught.</w:t>
      </w:r>
    </w:p>
    <w:p w14:paraId="2EBCC7AE" w14:textId="77777777" w:rsidR="00281B6D" w:rsidRDefault="00000000">
      <w:pPr>
        <w:spacing w:line="300" w:lineRule="auto"/>
      </w:pPr>
      <w:r>
        <w:rPr>
          <w:noProof/>
        </w:rPr>
        <w:drawing>
          <wp:anchor distT="0" distB="0" distL="0" distR="0" simplePos="0" relativeHeight="251686400" behindDoc="0" locked="0" layoutInCell="1" allowOverlap="1" wp14:anchorId="09D1083F" wp14:editId="3336149B">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23:11</w:t>
      </w:r>
      <w:r>
        <w:rPr>
          <w:rFonts w:ascii="Segoe UI" w:eastAsia="Segoe UI" w:hAnsi="Segoe UI" w:cs="Segoe UI"/>
          <w:color w:val="242424"/>
          <w:sz w:val="24"/>
          <w:szCs w:val="24"/>
        </w:rPr>
        <w:br/>
        <w:t>Program, yes.</w:t>
      </w:r>
    </w:p>
    <w:p w14:paraId="1B451F07" w14:textId="5BA0A3E1" w:rsidR="00281B6D" w:rsidRDefault="00000000">
      <w:pPr>
        <w:spacing w:line="300" w:lineRule="auto"/>
      </w:pPr>
      <w:r>
        <w:rPr>
          <w:rFonts w:ascii="Segoe UI" w:eastAsia="Segoe UI" w:hAnsi="Segoe UI" w:cs="Segoe UI"/>
          <w:b/>
          <w:bCs/>
          <w:color w:val="616161"/>
          <w:sz w:val="24"/>
          <w:szCs w:val="24"/>
        </w:rPr>
        <w:br/>
      </w:r>
      <w:r w:rsidR="00123033">
        <w:rPr>
          <w:rFonts w:ascii="Segoe UI" w:eastAsia="Segoe UI" w:hAnsi="Segoe UI" w:cs="Segoe UI"/>
          <w:b/>
          <w:bCs/>
          <w:color w:val="616161"/>
          <w:sz w:val="24"/>
          <w:szCs w:val="24"/>
        </w:rPr>
        <w:t>Interviewee</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23:21</w:t>
      </w:r>
      <w:r>
        <w:rPr>
          <w:rFonts w:ascii="Segoe UI" w:eastAsia="Segoe UI" w:hAnsi="Segoe UI" w:cs="Segoe UI"/>
          <w:color w:val="242424"/>
          <w:sz w:val="24"/>
          <w:szCs w:val="24"/>
        </w:rPr>
        <w:br/>
        <w:t>to the students in that year.</w:t>
      </w:r>
      <w:r>
        <w:rPr>
          <w:rFonts w:ascii="Segoe UI" w:eastAsia="Segoe UI" w:hAnsi="Segoe UI" w:cs="Segoe UI"/>
          <w:color w:val="242424"/>
          <w:sz w:val="24"/>
          <w:szCs w:val="24"/>
        </w:rPr>
        <w:br/>
        <w:t>Because at the end it will be more and more about checking the ability of making connections between things that have been learned and these kind of things.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probably it could be also a strategy to reduce the, so to make the team scalable about the checks when you need to have something that is, let's say, fully blown with the oral examination and so on.</w:t>
      </w:r>
    </w:p>
    <w:p w14:paraId="45C40797" w14:textId="77777777" w:rsidR="00281B6D" w:rsidRDefault="00000000">
      <w:pPr>
        <w:spacing w:line="300" w:lineRule="auto"/>
      </w:pPr>
      <w:r>
        <w:rPr>
          <w:noProof/>
        </w:rPr>
        <w:drawing>
          <wp:anchor distT="0" distB="0" distL="0" distR="0" simplePos="0" relativeHeight="251688448" behindDoc="0" locked="0" layoutInCell="1" allowOverlap="1" wp14:anchorId="075597BA" wp14:editId="79AA5C36">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Speaker 1   </w:t>
      </w:r>
      <w:r>
        <w:rPr>
          <w:rFonts w:ascii="Segoe UI" w:eastAsia="Segoe UI" w:hAnsi="Segoe UI" w:cs="Segoe UI"/>
          <w:color w:val="9E9E9E"/>
          <w:sz w:val="24"/>
          <w:szCs w:val="24"/>
        </w:rPr>
        <w:t>23:44</w:t>
      </w:r>
      <w:r>
        <w:rPr>
          <w:rFonts w:ascii="Segoe UI" w:eastAsia="Segoe UI" w:hAnsi="Segoe UI" w:cs="Segoe UI"/>
          <w:color w:val="242424"/>
          <w:sz w:val="24"/>
          <w:szCs w:val="24"/>
        </w:rPr>
        <w:br/>
        <w:t>Mm.</w:t>
      </w:r>
      <w:r>
        <w:rPr>
          <w:rFonts w:ascii="Segoe UI" w:eastAsia="Segoe UI" w:hAnsi="Segoe UI" w:cs="Segoe UI"/>
          <w:color w:val="242424"/>
          <w:sz w:val="24"/>
          <w:szCs w:val="24"/>
        </w:rPr>
        <w:br/>
        <w:t>Yeah, this is an interesting perspective on the on the programme wide impact or or transformation.</w:t>
      </w:r>
      <w:r>
        <w:rPr>
          <w:rFonts w:ascii="Segoe UI" w:eastAsia="Segoe UI" w:hAnsi="Segoe UI" w:cs="Segoe UI"/>
          <w:color w:val="242424"/>
          <w:sz w:val="24"/>
          <w:szCs w:val="24"/>
        </w:rPr>
        <w:br/>
        <w:t>Okay, but then I can close the transcript.</w:t>
      </w:r>
    </w:p>
    <w:p w14:paraId="0C64009A" w14:textId="77777777" w:rsidR="00281B6D" w:rsidRDefault="00000000">
      <w:pPr>
        <w:spacing w:line="300" w:lineRule="auto"/>
      </w:pPr>
      <w:r>
        <w:rPr>
          <w:rFonts w:ascii="Segoe UI" w:eastAsia="Segoe UI" w:hAnsi="Segoe UI" w:cs="Segoe UI"/>
          <w:b/>
          <w:bCs/>
          <w:color w:val="616161"/>
          <w:sz w:val="24"/>
          <w:szCs w:val="24"/>
        </w:rPr>
        <w:br/>
      </w:r>
    </w:p>
    <w:p w14:paraId="7377D821" w14:textId="77777777" w:rsidR="00D07ADA" w:rsidRDefault="00D07ADA">
      <w:pPr>
        <w:sectPr w:rsidR="00D07ADA">
          <w:pgSz w:w="11906" w:h="16838"/>
          <w:pgMar w:top="1440" w:right="1440" w:bottom="1440" w:left="1440" w:header="708" w:footer="708" w:gutter="0"/>
          <w:cols w:space="720"/>
          <w:docGrid w:linePitch="360"/>
        </w:sectPr>
      </w:pPr>
    </w:p>
    <w:p w14:paraId="78D13DCB" w14:textId="7BB2A6AF" w:rsidR="00D07ADA" w:rsidRDefault="00000000" w:rsidP="00123033">
      <w:pPr>
        <w:pStyle w:val="AnalysisHeading1"/>
      </w:pPr>
      <w:r>
        <w:lastRenderedPageBreak/>
        <w:t>1. Summative Interview Analysis</w:t>
      </w:r>
    </w:p>
    <w:tbl>
      <w:tblPr>
        <w:tblW w:w="15240" w:type="dxa"/>
        <w:tblInd w:w="125" w:type="dxa"/>
        <w:tblBorders>
          <w:top w:val="single" w:sz="4" w:space="0" w:color="C7C9CC"/>
          <w:left w:val="single" w:sz="4" w:space="0" w:color="C7C9CC"/>
          <w:bottom w:val="single" w:sz="4" w:space="0" w:color="C7C9CC"/>
          <w:right w:val="single" w:sz="4" w:space="0" w:color="C7C9CC"/>
          <w:insideH w:val="single" w:sz="4" w:space="0" w:color="C7C9CC"/>
          <w:insideV w:val="single" w:sz="4" w:space="0" w:color="C7C9CC"/>
        </w:tblBorders>
        <w:tblLayout w:type="fixed"/>
        <w:tblLook w:val="04A0" w:firstRow="1" w:lastRow="0" w:firstColumn="1" w:lastColumn="0" w:noHBand="0" w:noVBand="1"/>
      </w:tblPr>
      <w:tblGrid>
        <w:gridCol w:w="850"/>
        <w:gridCol w:w="4300"/>
        <w:gridCol w:w="5300"/>
        <w:gridCol w:w="4790"/>
      </w:tblGrid>
      <w:tr w:rsidR="00D07ADA" w14:paraId="3C7B8C9F" w14:textId="77777777">
        <w:trPr>
          <w:cantSplit/>
          <w:tblHeader/>
        </w:trPr>
        <w:tc>
          <w:tcPr>
            <w:tcW w:w="850" w:type="dxa"/>
            <w:shd w:val="clear" w:color="auto" w:fill="8B0D26"/>
            <w:tcMar>
              <w:top w:w="105" w:type="dxa"/>
              <w:left w:w="125" w:type="dxa"/>
              <w:bottom w:w="105" w:type="dxa"/>
              <w:right w:w="125" w:type="dxa"/>
            </w:tcMar>
            <w:vAlign w:val="center"/>
          </w:tcPr>
          <w:p w14:paraId="0E3C970D" w14:textId="77777777" w:rsidR="00D07ADA" w:rsidRDefault="00000000">
            <w:pPr>
              <w:jc w:val="center"/>
            </w:pPr>
            <w:r>
              <w:rPr>
                <w:rFonts w:ascii="Arial" w:hAnsi="Arial"/>
                <w:b/>
                <w:color w:val="FFFFFF"/>
                <w:sz w:val="15"/>
              </w:rPr>
              <w:t>Focus</w:t>
            </w:r>
          </w:p>
        </w:tc>
        <w:tc>
          <w:tcPr>
            <w:tcW w:w="4300" w:type="dxa"/>
            <w:shd w:val="clear" w:color="auto" w:fill="8B0D26"/>
            <w:tcMar>
              <w:top w:w="105" w:type="dxa"/>
              <w:left w:w="125" w:type="dxa"/>
              <w:bottom w:w="105" w:type="dxa"/>
              <w:right w:w="125" w:type="dxa"/>
            </w:tcMar>
            <w:vAlign w:val="center"/>
          </w:tcPr>
          <w:p w14:paraId="457B7C67" w14:textId="77777777" w:rsidR="00D07ADA" w:rsidRDefault="00000000">
            <w:pPr>
              <w:jc w:val="center"/>
            </w:pPr>
            <w:r>
              <w:rPr>
                <w:rFonts w:ascii="Arial" w:hAnsi="Arial"/>
                <w:b/>
                <w:color w:val="FFFFFF"/>
                <w:sz w:val="15"/>
              </w:rPr>
              <w:t>Evaluation summary</w:t>
            </w:r>
          </w:p>
        </w:tc>
        <w:tc>
          <w:tcPr>
            <w:tcW w:w="5300" w:type="dxa"/>
            <w:shd w:val="clear" w:color="auto" w:fill="8B0D26"/>
            <w:tcMar>
              <w:top w:w="105" w:type="dxa"/>
              <w:left w:w="125" w:type="dxa"/>
              <w:bottom w:w="105" w:type="dxa"/>
              <w:right w:w="125" w:type="dxa"/>
            </w:tcMar>
            <w:vAlign w:val="center"/>
          </w:tcPr>
          <w:p w14:paraId="2D605B7A" w14:textId="77777777" w:rsidR="00D07ADA" w:rsidRDefault="00000000">
            <w:pPr>
              <w:jc w:val="center"/>
            </w:pPr>
            <w:r>
              <w:rPr>
                <w:rFonts w:ascii="Arial" w:hAnsi="Arial"/>
                <w:b/>
                <w:color w:val="FFFFFF"/>
                <w:sz w:val="15"/>
              </w:rPr>
              <w:t>Compact coding rationale</w:t>
            </w:r>
          </w:p>
        </w:tc>
        <w:tc>
          <w:tcPr>
            <w:tcW w:w="4790" w:type="dxa"/>
            <w:shd w:val="clear" w:color="auto" w:fill="8B0D26"/>
            <w:tcMar>
              <w:top w:w="105" w:type="dxa"/>
              <w:left w:w="125" w:type="dxa"/>
              <w:bottom w:w="105" w:type="dxa"/>
              <w:right w:w="125" w:type="dxa"/>
            </w:tcMar>
            <w:vAlign w:val="center"/>
          </w:tcPr>
          <w:p w14:paraId="64A22BEA" w14:textId="77777777" w:rsidR="00D07ADA" w:rsidRDefault="00000000">
            <w:pPr>
              <w:jc w:val="center"/>
            </w:pPr>
            <w:r>
              <w:rPr>
                <w:rFonts w:ascii="Arial" w:hAnsi="Arial"/>
                <w:b/>
                <w:color w:val="FFFFFF"/>
                <w:sz w:val="15"/>
              </w:rPr>
              <w:t>Main implication</w:t>
            </w:r>
          </w:p>
        </w:tc>
      </w:tr>
      <w:tr w:rsidR="00D07ADA" w14:paraId="563B9A70" w14:textId="77777777">
        <w:trPr>
          <w:cantSplit/>
        </w:trPr>
        <w:tc>
          <w:tcPr>
            <w:tcW w:w="850" w:type="dxa"/>
            <w:shd w:val="clear" w:color="auto" w:fill="FFFFFF"/>
            <w:tcMar>
              <w:top w:w="105" w:type="dxa"/>
              <w:left w:w="125" w:type="dxa"/>
              <w:bottom w:w="105" w:type="dxa"/>
              <w:right w:w="125" w:type="dxa"/>
            </w:tcMar>
            <w:vAlign w:val="center"/>
          </w:tcPr>
          <w:p w14:paraId="6ACE76B7" w14:textId="77777777" w:rsidR="00D07ADA" w:rsidRDefault="00000000">
            <w:pPr>
              <w:jc w:val="center"/>
            </w:pPr>
            <w:r>
              <w:rPr>
                <w:rFonts w:ascii="Arial" w:hAnsi="Arial"/>
                <w:color w:val="262626"/>
                <w:sz w:val="16"/>
              </w:rPr>
              <w:t>Set</w:t>
            </w:r>
          </w:p>
        </w:tc>
        <w:tc>
          <w:tcPr>
            <w:tcW w:w="4300" w:type="dxa"/>
            <w:shd w:val="clear" w:color="auto" w:fill="FFFFFF"/>
            <w:tcMar>
              <w:top w:w="105" w:type="dxa"/>
              <w:left w:w="125" w:type="dxa"/>
              <w:bottom w:w="105" w:type="dxa"/>
              <w:right w:w="125" w:type="dxa"/>
            </w:tcMar>
            <w:vAlign w:val="center"/>
          </w:tcPr>
          <w:p w14:paraId="0DAD4B36" w14:textId="77777777" w:rsidR="00D07ADA" w:rsidRDefault="00000000">
            <w:r>
              <w:rPr>
                <w:rFonts w:ascii="Arial" w:hAnsi="Arial"/>
                <w:color w:val="262626"/>
                <w:sz w:val="16"/>
              </w:rPr>
              <w:t>Generally reasonable and understandable, but task sensitivity is implicit and the framework remains course-by-course.</w:t>
            </w:r>
          </w:p>
        </w:tc>
        <w:tc>
          <w:tcPr>
            <w:tcW w:w="5300" w:type="dxa"/>
            <w:shd w:val="clear" w:color="auto" w:fill="FFFFFF"/>
            <w:tcMar>
              <w:top w:w="105" w:type="dxa"/>
              <w:left w:w="125" w:type="dxa"/>
              <w:bottom w:w="105" w:type="dxa"/>
              <w:right w:w="125" w:type="dxa"/>
            </w:tcMar>
            <w:vAlign w:val="center"/>
          </w:tcPr>
          <w:p w14:paraId="4C2B0C57" w14:textId="77777777" w:rsidR="00D07ADA" w:rsidRDefault="00000000">
            <w:r>
              <w:rPr>
                <w:rFonts w:ascii="Arial" w:hAnsi="Arial"/>
                <w:color w:val="262626"/>
                <w:sz w:val="16"/>
              </w:rPr>
              <w:t>Reasonable/understandable → overall support. Missing sensitivity distinction + programme-wide concern → task-susceptibility and curricular-scope gaps.</w:t>
            </w:r>
          </w:p>
        </w:tc>
        <w:tc>
          <w:tcPr>
            <w:tcW w:w="4790" w:type="dxa"/>
            <w:shd w:val="clear" w:color="auto" w:fill="FFFFFF"/>
            <w:tcMar>
              <w:top w:w="105" w:type="dxa"/>
              <w:left w:w="125" w:type="dxa"/>
              <w:bottom w:w="105" w:type="dxa"/>
              <w:right w:w="125" w:type="dxa"/>
            </w:tcMar>
            <w:vAlign w:val="center"/>
          </w:tcPr>
          <w:p w14:paraId="2A854883" w14:textId="77777777" w:rsidR="00D07ADA" w:rsidRDefault="00000000">
            <w:r>
              <w:rPr>
                <w:rFonts w:ascii="Arial" w:hAnsi="Arial"/>
                <w:color w:val="262626"/>
                <w:sz w:val="16"/>
              </w:rPr>
              <w:t>Retain the set; make GenAI sensitivity visible and examine a programme-level complement.</w:t>
            </w:r>
          </w:p>
        </w:tc>
      </w:tr>
      <w:tr w:rsidR="00D07ADA" w14:paraId="116BAD25" w14:textId="77777777">
        <w:trPr>
          <w:cantSplit/>
        </w:trPr>
        <w:tc>
          <w:tcPr>
            <w:tcW w:w="850" w:type="dxa"/>
            <w:shd w:val="clear" w:color="auto" w:fill="F4F5F6"/>
            <w:tcMar>
              <w:top w:w="105" w:type="dxa"/>
              <w:left w:w="125" w:type="dxa"/>
              <w:bottom w:w="105" w:type="dxa"/>
              <w:right w:w="125" w:type="dxa"/>
            </w:tcMar>
            <w:vAlign w:val="center"/>
          </w:tcPr>
          <w:p w14:paraId="47A09427" w14:textId="77777777" w:rsidR="00D07ADA" w:rsidRDefault="00000000">
            <w:pPr>
              <w:jc w:val="center"/>
            </w:pPr>
            <w:r>
              <w:rPr>
                <w:rFonts w:ascii="Arial" w:hAnsi="Arial"/>
                <w:color w:val="262626"/>
                <w:sz w:val="16"/>
              </w:rPr>
              <w:t>G1</w:t>
            </w:r>
          </w:p>
        </w:tc>
        <w:tc>
          <w:tcPr>
            <w:tcW w:w="4300" w:type="dxa"/>
            <w:shd w:val="clear" w:color="auto" w:fill="F4F5F6"/>
            <w:tcMar>
              <w:top w:w="105" w:type="dxa"/>
              <w:left w:w="125" w:type="dxa"/>
              <w:bottom w:w="105" w:type="dxa"/>
              <w:right w:w="125" w:type="dxa"/>
            </w:tcMar>
            <w:vAlign w:val="center"/>
          </w:tcPr>
          <w:p w14:paraId="7660715C" w14:textId="77777777" w:rsidR="00D07ADA" w:rsidRDefault="00000000">
            <w:r>
              <w:rPr>
                <w:rFonts w:ascii="Arial" w:hAnsi="Arial"/>
                <w:color w:val="262626"/>
                <w:sz w:val="16"/>
              </w:rPr>
              <w:t>Clear and applicable; distinguishing GenAI's role in the assessment makes sense.</w:t>
            </w:r>
          </w:p>
        </w:tc>
        <w:tc>
          <w:tcPr>
            <w:tcW w:w="5300" w:type="dxa"/>
            <w:shd w:val="clear" w:color="auto" w:fill="F4F5F6"/>
            <w:tcMar>
              <w:top w:w="105" w:type="dxa"/>
              <w:left w:w="125" w:type="dxa"/>
              <w:bottom w:w="105" w:type="dxa"/>
              <w:right w:w="125" w:type="dxa"/>
            </w:tcMar>
            <w:vAlign w:val="center"/>
          </w:tcPr>
          <w:p w14:paraId="6CE9C46A" w14:textId="77777777" w:rsidR="00D07ADA" w:rsidRDefault="00000000">
            <w:r>
              <w:rPr>
                <w:rFonts w:ascii="Arial" w:hAnsi="Arial"/>
                <w:color w:val="262626"/>
                <w:sz w:val="16"/>
              </w:rPr>
              <w:t>Explicit endorsement of the role distinction → competence–assistance alignment.</w:t>
            </w:r>
          </w:p>
        </w:tc>
        <w:tc>
          <w:tcPr>
            <w:tcW w:w="4790" w:type="dxa"/>
            <w:shd w:val="clear" w:color="auto" w:fill="F4F5F6"/>
            <w:tcMar>
              <w:top w:w="105" w:type="dxa"/>
              <w:left w:w="125" w:type="dxa"/>
              <w:bottom w:w="105" w:type="dxa"/>
              <w:right w:w="125" w:type="dxa"/>
            </w:tcMar>
            <w:vAlign w:val="center"/>
          </w:tcPr>
          <w:p w14:paraId="5F210939" w14:textId="77777777" w:rsidR="00D07ADA" w:rsidRDefault="00000000">
            <w:r>
              <w:rPr>
                <w:rFonts w:ascii="Arial" w:hAnsi="Arial"/>
                <w:color w:val="262626"/>
                <w:sz w:val="16"/>
              </w:rPr>
              <w:t>Retain.</w:t>
            </w:r>
          </w:p>
        </w:tc>
      </w:tr>
      <w:tr w:rsidR="00D07ADA" w14:paraId="5925B103" w14:textId="77777777">
        <w:trPr>
          <w:cantSplit/>
        </w:trPr>
        <w:tc>
          <w:tcPr>
            <w:tcW w:w="850" w:type="dxa"/>
            <w:shd w:val="clear" w:color="auto" w:fill="FFFFFF"/>
            <w:tcMar>
              <w:top w:w="105" w:type="dxa"/>
              <w:left w:w="125" w:type="dxa"/>
              <w:bottom w:w="105" w:type="dxa"/>
              <w:right w:w="125" w:type="dxa"/>
            </w:tcMar>
            <w:vAlign w:val="center"/>
          </w:tcPr>
          <w:p w14:paraId="6ADE2B52" w14:textId="77777777" w:rsidR="00D07ADA" w:rsidRDefault="00000000">
            <w:pPr>
              <w:jc w:val="center"/>
            </w:pPr>
            <w:r>
              <w:rPr>
                <w:rFonts w:ascii="Arial" w:hAnsi="Arial"/>
                <w:color w:val="262626"/>
                <w:sz w:val="16"/>
              </w:rPr>
              <w:t>G2</w:t>
            </w:r>
          </w:p>
        </w:tc>
        <w:tc>
          <w:tcPr>
            <w:tcW w:w="4300" w:type="dxa"/>
            <w:shd w:val="clear" w:color="auto" w:fill="FFFFFF"/>
            <w:tcMar>
              <w:top w:w="105" w:type="dxa"/>
              <w:left w:w="125" w:type="dxa"/>
              <w:bottom w:w="105" w:type="dxa"/>
              <w:right w:w="125" w:type="dxa"/>
            </w:tcMar>
            <w:vAlign w:val="center"/>
          </w:tcPr>
          <w:p w14:paraId="6830E28C" w14:textId="77777777" w:rsidR="00D07ADA" w:rsidRDefault="00000000">
            <w:r>
              <w:rPr>
                <w:rFonts w:ascii="Arial" w:hAnsi="Arial"/>
                <w:color w:val="262626"/>
                <w:sz w:val="16"/>
              </w:rPr>
              <w:t>Reasonable, but feasibility depends on honest disclosure and reliable identification of infringement.</w:t>
            </w:r>
          </w:p>
        </w:tc>
        <w:tc>
          <w:tcPr>
            <w:tcW w:w="5300" w:type="dxa"/>
            <w:shd w:val="clear" w:color="auto" w:fill="FFFFFF"/>
            <w:tcMar>
              <w:top w:w="105" w:type="dxa"/>
              <w:left w:w="125" w:type="dxa"/>
              <w:bottom w:w="105" w:type="dxa"/>
              <w:right w:w="125" w:type="dxa"/>
            </w:tcMar>
            <w:vAlign w:val="center"/>
          </w:tcPr>
          <w:p w14:paraId="366FF525" w14:textId="77777777" w:rsidR="00D07ADA" w:rsidRDefault="00000000">
            <w:r>
              <w:rPr>
                <w:rFonts w:ascii="Arial" w:hAnsi="Arial"/>
                <w:color w:val="262626"/>
                <w:sz w:val="16"/>
              </w:rPr>
              <w:t>Rules can be bypassed or faked + no reliable detection → disclosure–enforcement gap.</w:t>
            </w:r>
          </w:p>
        </w:tc>
        <w:tc>
          <w:tcPr>
            <w:tcW w:w="4790" w:type="dxa"/>
            <w:shd w:val="clear" w:color="auto" w:fill="FFFFFF"/>
            <w:tcMar>
              <w:top w:w="105" w:type="dxa"/>
              <w:left w:w="125" w:type="dxa"/>
              <w:bottom w:w="105" w:type="dxa"/>
              <w:right w:w="125" w:type="dxa"/>
            </w:tcMar>
            <w:vAlign w:val="center"/>
          </w:tcPr>
          <w:p w14:paraId="001C4F95" w14:textId="77777777" w:rsidR="00D07ADA" w:rsidRDefault="00000000">
            <w:r>
              <w:rPr>
                <w:rFonts w:ascii="Arial" w:hAnsi="Arial"/>
                <w:color w:val="262626"/>
                <w:sz w:val="16"/>
              </w:rPr>
              <w:t>Retain; state that disclosure is not verification and connect uncertain cases to proportionate evidence.</w:t>
            </w:r>
          </w:p>
        </w:tc>
      </w:tr>
      <w:tr w:rsidR="00D07ADA" w14:paraId="10C83D7C" w14:textId="77777777">
        <w:trPr>
          <w:cantSplit/>
        </w:trPr>
        <w:tc>
          <w:tcPr>
            <w:tcW w:w="850" w:type="dxa"/>
            <w:shd w:val="clear" w:color="auto" w:fill="F4F5F6"/>
            <w:tcMar>
              <w:top w:w="105" w:type="dxa"/>
              <w:left w:w="125" w:type="dxa"/>
              <w:bottom w:w="105" w:type="dxa"/>
              <w:right w:w="125" w:type="dxa"/>
            </w:tcMar>
            <w:vAlign w:val="center"/>
          </w:tcPr>
          <w:p w14:paraId="1604AE8A" w14:textId="77777777" w:rsidR="00D07ADA" w:rsidRDefault="00000000">
            <w:pPr>
              <w:jc w:val="center"/>
            </w:pPr>
            <w:r>
              <w:rPr>
                <w:rFonts w:ascii="Arial" w:hAnsi="Arial"/>
                <w:color w:val="262626"/>
                <w:sz w:val="16"/>
              </w:rPr>
              <w:t>G3</w:t>
            </w:r>
          </w:p>
        </w:tc>
        <w:tc>
          <w:tcPr>
            <w:tcW w:w="4300" w:type="dxa"/>
            <w:shd w:val="clear" w:color="auto" w:fill="F4F5F6"/>
            <w:tcMar>
              <w:top w:w="105" w:type="dxa"/>
              <w:left w:w="125" w:type="dxa"/>
              <w:bottom w:w="105" w:type="dxa"/>
              <w:right w:w="125" w:type="dxa"/>
            </w:tcMar>
            <w:vAlign w:val="center"/>
          </w:tcPr>
          <w:p w14:paraId="4CA89BF4" w14:textId="77777777" w:rsidR="00D07ADA" w:rsidRDefault="00000000">
            <w:r>
              <w:rPr>
                <w:rFonts w:ascii="Arial" w:hAnsi="Arial"/>
                <w:color w:val="262626"/>
                <w:sz w:val="16"/>
              </w:rPr>
              <w:t>Initially unclear—especially “smallest amount”—but accepted after its workload and scalability purpose was explained.</w:t>
            </w:r>
          </w:p>
        </w:tc>
        <w:tc>
          <w:tcPr>
            <w:tcW w:w="5300" w:type="dxa"/>
            <w:shd w:val="clear" w:color="auto" w:fill="F4F5F6"/>
            <w:tcMar>
              <w:top w:w="105" w:type="dxa"/>
              <w:left w:w="125" w:type="dxa"/>
              <w:bottom w:w="105" w:type="dxa"/>
              <w:right w:w="125" w:type="dxa"/>
            </w:tcMar>
            <w:vAlign w:val="center"/>
          </w:tcPr>
          <w:p w14:paraId="7B73C5D7" w14:textId="77777777" w:rsidR="00D07ADA" w:rsidRDefault="00000000">
            <w:r>
              <w:rPr>
                <w:rFonts w:ascii="Arial" w:hAnsi="Arial"/>
                <w:color w:val="262626"/>
                <w:sz w:val="16"/>
              </w:rPr>
              <w:t>Repeated rereading + agreement after explanation → proportionality-language ambiguity.</w:t>
            </w:r>
          </w:p>
        </w:tc>
        <w:tc>
          <w:tcPr>
            <w:tcW w:w="4790" w:type="dxa"/>
            <w:shd w:val="clear" w:color="auto" w:fill="F4F5F6"/>
            <w:tcMar>
              <w:top w:w="105" w:type="dxa"/>
              <w:left w:w="125" w:type="dxa"/>
              <w:bottom w:w="105" w:type="dxa"/>
              <w:right w:w="125" w:type="dxa"/>
            </w:tcMar>
            <w:vAlign w:val="center"/>
          </w:tcPr>
          <w:p w14:paraId="2379C005" w14:textId="77777777" w:rsidR="00D07ADA" w:rsidRDefault="00000000">
            <w:r>
              <w:rPr>
                <w:rFonts w:ascii="Arial" w:hAnsi="Arial"/>
                <w:color w:val="262626"/>
                <w:sz w:val="16"/>
              </w:rPr>
              <w:t>Clarify as the least burdensome evidence sufficient to support the competence judgment.</w:t>
            </w:r>
          </w:p>
        </w:tc>
      </w:tr>
      <w:tr w:rsidR="00D07ADA" w14:paraId="38F27A9B" w14:textId="77777777">
        <w:trPr>
          <w:cantSplit/>
        </w:trPr>
        <w:tc>
          <w:tcPr>
            <w:tcW w:w="850" w:type="dxa"/>
            <w:shd w:val="clear" w:color="auto" w:fill="FFFFFF"/>
            <w:tcMar>
              <w:top w:w="105" w:type="dxa"/>
              <w:left w:w="125" w:type="dxa"/>
              <w:bottom w:w="105" w:type="dxa"/>
              <w:right w:w="125" w:type="dxa"/>
            </w:tcMar>
            <w:vAlign w:val="center"/>
          </w:tcPr>
          <w:p w14:paraId="6CEB8454" w14:textId="77777777" w:rsidR="00D07ADA" w:rsidRDefault="00000000">
            <w:pPr>
              <w:jc w:val="center"/>
            </w:pPr>
            <w:r>
              <w:rPr>
                <w:rFonts w:ascii="Arial" w:hAnsi="Arial"/>
                <w:color w:val="262626"/>
                <w:sz w:val="16"/>
              </w:rPr>
              <w:t>G4</w:t>
            </w:r>
          </w:p>
        </w:tc>
        <w:tc>
          <w:tcPr>
            <w:tcW w:w="4300" w:type="dxa"/>
            <w:shd w:val="clear" w:color="auto" w:fill="FFFFFF"/>
            <w:tcMar>
              <w:top w:w="105" w:type="dxa"/>
              <w:left w:w="125" w:type="dxa"/>
              <w:bottom w:w="105" w:type="dxa"/>
              <w:right w:w="125" w:type="dxa"/>
            </w:tcMar>
            <w:vAlign w:val="center"/>
          </w:tcPr>
          <w:p w14:paraId="224072E5" w14:textId="77777777" w:rsidR="00D07ADA" w:rsidRDefault="00000000">
            <w:r>
              <w:rPr>
                <w:rFonts w:ascii="Arial" w:hAnsi="Arial"/>
                <w:color w:val="262626"/>
                <w:sz w:val="16"/>
              </w:rPr>
              <w:t>Presented in a grouped prompt, but no standalone judgment or supporting reason was elicited.</w:t>
            </w:r>
          </w:p>
        </w:tc>
        <w:tc>
          <w:tcPr>
            <w:tcW w:w="5300" w:type="dxa"/>
            <w:shd w:val="clear" w:color="auto" w:fill="FFFFFF"/>
            <w:tcMar>
              <w:top w:w="105" w:type="dxa"/>
              <w:left w:w="125" w:type="dxa"/>
              <w:bottom w:w="105" w:type="dxa"/>
              <w:right w:w="125" w:type="dxa"/>
            </w:tcMar>
            <w:vAlign w:val="center"/>
          </w:tcPr>
          <w:p w14:paraId="1D846FB8" w14:textId="77777777" w:rsidR="00D07ADA" w:rsidRDefault="00000000">
            <w:r>
              <w:rPr>
                <w:rFonts w:ascii="Arial" w:hAnsi="Arial"/>
                <w:color w:val="262626"/>
                <w:sz w:val="16"/>
              </w:rPr>
              <w:t>No direct evaluative unit → no judgment; silence is not coded as support.</w:t>
            </w:r>
          </w:p>
        </w:tc>
        <w:tc>
          <w:tcPr>
            <w:tcW w:w="4790" w:type="dxa"/>
            <w:shd w:val="clear" w:color="auto" w:fill="FFFFFF"/>
            <w:tcMar>
              <w:top w:w="105" w:type="dxa"/>
              <w:left w:w="125" w:type="dxa"/>
              <w:bottom w:w="105" w:type="dxa"/>
              <w:right w:w="125" w:type="dxa"/>
            </w:tcMar>
            <w:vAlign w:val="center"/>
          </w:tcPr>
          <w:p w14:paraId="7CBEA5FB" w14:textId="77777777" w:rsidR="00D07ADA" w:rsidRDefault="00000000">
            <w:r>
              <w:rPr>
                <w:rFonts w:ascii="Arial" w:hAnsi="Arial"/>
                <w:color w:val="262626"/>
                <w:sz w:val="16"/>
              </w:rPr>
              <w:t>Do not use I2 as evidence to retain or revise G4.</w:t>
            </w:r>
          </w:p>
        </w:tc>
      </w:tr>
      <w:tr w:rsidR="00D07ADA" w14:paraId="7DF052B9" w14:textId="77777777">
        <w:trPr>
          <w:cantSplit/>
        </w:trPr>
        <w:tc>
          <w:tcPr>
            <w:tcW w:w="850" w:type="dxa"/>
            <w:shd w:val="clear" w:color="auto" w:fill="F4F5F6"/>
            <w:tcMar>
              <w:top w:w="105" w:type="dxa"/>
              <w:left w:w="125" w:type="dxa"/>
              <w:bottom w:w="105" w:type="dxa"/>
              <w:right w:w="125" w:type="dxa"/>
            </w:tcMar>
            <w:vAlign w:val="center"/>
          </w:tcPr>
          <w:p w14:paraId="49565FDA" w14:textId="77777777" w:rsidR="00D07ADA" w:rsidRDefault="00000000">
            <w:pPr>
              <w:jc w:val="center"/>
            </w:pPr>
            <w:r>
              <w:rPr>
                <w:rFonts w:ascii="Arial" w:hAnsi="Arial"/>
                <w:color w:val="262626"/>
                <w:sz w:val="16"/>
              </w:rPr>
              <w:t>G5</w:t>
            </w:r>
          </w:p>
        </w:tc>
        <w:tc>
          <w:tcPr>
            <w:tcW w:w="4300" w:type="dxa"/>
            <w:shd w:val="clear" w:color="auto" w:fill="F4F5F6"/>
            <w:tcMar>
              <w:top w:w="105" w:type="dxa"/>
              <w:left w:w="125" w:type="dxa"/>
              <w:bottom w:w="105" w:type="dxa"/>
              <w:right w:w="125" w:type="dxa"/>
            </w:tcMar>
            <w:vAlign w:val="center"/>
          </w:tcPr>
          <w:p w14:paraId="11A81C58" w14:textId="77777777" w:rsidR="00D07ADA" w:rsidRDefault="00000000">
            <w:r>
              <w:rPr>
                <w:rFonts w:ascii="Arial" w:hAnsi="Arial"/>
                <w:color w:val="262626"/>
                <w:sz w:val="16"/>
              </w:rPr>
              <w:t>No standalone clarity/relevance judgment; extensive oral or supervised checking was acknowledged as non-scalable.</w:t>
            </w:r>
          </w:p>
        </w:tc>
        <w:tc>
          <w:tcPr>
            <w:tcW w:w="5300" w:type="dxa"/>
            <w:shd w:val="clear" w:color="auto" w:fill="F4F5F6"/>
            <w:tcMar>
              <w:top w:w="105" w:type="dxa"/>
              <w:left w:w="125" w:type="dxa"/>
              <w:bottom w:w="105" w:type="dxa"/>
              <w:right w:w="125" w:type="dxa"/>
            </w:tcMar>
            <w:vAlign w:val="center"/>
          </w:tcPr>
          <w:p w14:paraId="79540FE4" w14:textId="77777777" w:rsidR="00D07ADA" w:rsidRDefault="00000000">
            <w:r>
              <w:rPr>
                <w:rFonts w:ascii="Arial" w:hAnsi="Arial"/>
                <w:color w:val="262626"/>
                <w:sz w:val="16"/>
              </w:rPr>
              <w:t>Fully blown verification + scale concern → verification-workload constraint.</w:t>
            </w:r>
          </w:p>
        </w:tc>
        <w:tc>
          <w:tcPr>
            <w:tcW w:w="4790" w:type="dxa"/>
            <w:shd w:val="clear" w:color="auto" w:fill="F4F5F6"/>
            <w:tcMar>
              <w:top w:w="105" w:type="dxa"/>
              <w:left w:w="125" w:type="dxa"/>
              <w:bottom w:w="105" w:type="dxa"/>
              <w:right w:w="125" w:type="dxa"/>
            </w:tcMar>
            <w:vAlign w:val="center"/>
          </w:tcPr>
          <w:p w14:paraId="28F29950" w14:textId="77777777" w:rsidR="00D07ADA" w:rsidRDefault="00000000">
            <w:r>
              <w:rPr>
                <w:rFonts w:ascii="Arial" w:hAnsi="Arial"/>
                <w:color w:val="262626"/>
                <w:sz w:val="16"/>
              </w:rPr>
              <w:t>Retain its targeted backstop role; compare feasibility across later interviews.</w:t>
            </w:r>
          </w:p>
        </w:tc>
      </w:tr>
      <w:tr w:rsidR="00D07ADA" w14:paraId="7BF7AD4B" w14:textId="77777777">
        <w:trPr>
          <w:cantSplit/>
        </w:trPr>
        <w:tc>
          <w:tcPr>
            <w:tcW w:w="850" w:type="dxa"/>
            <w:shd w:val="clear" w:color="auto" w:fill="FFFFFF"/>
            <w:tcMar>
              <w:top w:w="105" w:type="dxa"/>
              <w:left w:w="125" w:type="dxa"/>
              <w:bottom w:w="105" w:type="dxa"/>
              <w:right w:w="125" w:type="dxa"/>
            </w:tcMar>
            <w:vAlign w:val="center"/>
          </w:tcPr>
          <w:p w14:paraId="07A27A0C" w14:textId="77777777" w:rsidR="00D07ADA" w:rsidRDefault="00000000">
            <w:pPr>
              <w:jc w:val="center"/>
            </w:pPr>
            <w:r>
              <w:rPr>
                <w:rFonts w:ascii="Arial" w:hAnsi="Arial"/>
                <w:color w:val="262626"/>
                <w:sz w:val="16"/>
              </w:rPr>
              <w:t>G6</w:t>
            </w:r>
          </w:p>
        </w:tc>
        <w:tc>
          <w:tcPr>
            <w:tcW w:w="4300" w:type="dxa"/>
            <w:shd w:val="clear" w:color="auto" w:fill="FFFFFF"/>
            <w:tcMar>
              <w:top w:w="105" w:type="dxa"/>
              <w:left w:w="125" w:type="dxa"/>
              <w:bottom w:w="105" w:type="dxa"/>
              <w:right w:w="125" w:type="dxa"/>
            </w:tcMar>
            <w:vAlign w:val="center"/>
          </w:tcPr>
          <w:p w14:paraId="7F30D4FB" w14:textId="77777777" w:rsidR="00D07ADA" w:rsidRDefault="00000000">
            <w:r>
              <w:rPr>
                <w:rFonts w:ascii="Arial" w:hAnsi="Arial"/>
                <w:color w:val="262626"/>
                <w:sz w:val="16"/>
              </w:rPr>
              <w:t>Meaningful, but it leaves implicit which tasks and examinations accommodate GenAI and which become harder to assess.</w:t>
            </w:r>
          </w:p>
        </w:tc>
        <w:tc>
          <w:tcPr>
            <w:tcW w:w="5300" w:type="dxa"/>
            <w:shd w:val="clear" w:color="auto" w:fill="FFFFFF"/>
            <w:tcMar>
              <w:top w:w="105" w:type="dxa"/>
              <w:left w:w="125" w:type="dxa"/>
              <w:bottom w:w="105" w:type="dxa"/>
              <w:right w:w="125" w:type="dxa"/>
            </w:tcMar>
            <w:vAlign w:val="center"/>
          </w:tcPr>
          <w:p w14:paraId="0F678AFC" w14:textId="77777777" w:rsidR="00D07ADA" w:rsidRDefault="00000000">
            <w:r>
              <w:rPr>
                <w:rFonts w:ascii="Arial" w:hAnsi="Arial"/>
                <w:color w:val="262626"/>
                <w:sz w:val="16"/>
              </w:rPr>
              <w:t>Missing explicit distinction + some assessments become more complicated → assessment-susceptibility boundary.</w:t>
            </w:r>
          </w:p>
        </w:tc>
        <w:tc>
          <w:tcPr>
            <w:tcW w:w="4790" w:type="dxa"/>
            <w:shd w:val="clear" w:color="auto" w:fill="FFFFFF"/>
            <w:tcMar>
              <w:top w:w="105" w:type="dxa"/>
              <w:left w:w="125" w:type="dxa"/>
              <w:bottom w:w="105" w:type="dxa"/>
              <w:right w:w="125" w:type="dxa"/>
            </w:tcMar>
            <w:vAlign w:val="center"/>
          </w:tcPr>
          <w:p w14:paraId="124BAB4F" w14:textId="77777777" w:rsidR="00D07ADA" w:rsidRDefault="00000000">
            <w:r>
              <w:rPr>
                <w:rFonts w:ascii="Arial" w:hAnsi="Arial"/>
                <w:color w:val="262626"/>
                <w:sz w:val="16"/>
              </w:rPr>
              <w:t>Make GenAI substitution/sensitivity visible alongside format and assessment phase.</w:t>
            </w:r>
          </w:p>
        </w:tc>
      </w:tr>
      <w:tr w:rsidR="00D07ADA" w14:paraId="7CBB4FCB" w14:textId="77777777">
        <w:trPr>
          <w:cantSplit/>
        </w:trPr>
        <w:tc>
          <w:tcPr>
            <w:tcW w:w="850" w:type="dxa"/>
            <w:shd w:val="clear" w:color="auto" w:fill="F4F5F6"/>
            <w:tcMar>
              <w:top w:w="105" w:type="dxa"/>
              <w:left w:w="125" w:type="dxa"/>
              <w:bottom w:w="105" w:type="dxa"/>
              <w:right w:w="125" w:type="dxa"/>
            </w:tcMar>
            <w:vAlign w:val="center"/>
          </w:tcPr>
          <w:p w14:paraId="67C00DE8" w14:textId="77777777" w:rsidR="00D07ADA" w:rsidRDefault="00000000">
            <w:pPr>
              <w:jc w:val="center"/>
            </w:pPr>
            <w:r>
              <w:rPr>
                <w:rFonts w:ascii="Arial" w:hAnsi="Arial"/>
                <w:color w:val="262626"/>
                <w:sz w:val="16"/>
              </w:rPr>
              <w:t>G7</w:t>
            </w:r>
          </w:p>
        </w:tc>
        <w:tc>
          <w:tcPr>
            <w:tcW w:w="4300" w:type="dxa"/>
            <w:shd w:val="clear" w:color="auto" w:fill="F4F5F6"/>
            <w:tcMar>
              <w:top w:w="105" w:type="dxa"/>
              <w:left w:w="125" w:type="dxa"/>
              <w:bottom w:w="105" w:type="dxa"/>
              <w:right w:w="125" w:type="dxa"/>
            </w:tcMar>
            <w:vAlign w:val="center"/>
          </w:tcPr>
          <w:p w14:paraId="4DE25A44" w14:textId="77777777" w:rsidR="00D07ADA" w:rsidRDefault="00000000">
            <w:r>
              <w:rPr>
                <w:rFonts w:ascii="Arial" w:hAnsi="Arial"/>
                <w:color w:val="262626"/>
                <w:sz w:val="16"/>
              </w:rPr>
              <w:t>Strongly supported because GenAI is a powerful productivity tool likely to persist; applicability depends on preventing complete delegation and insufficient learning.</w:t>
            </w:r>
          </w:p>
        </w:tc>
        <w:tc>
          <w:tcPr>
            <w:tcW w:w="5300" w:type="dxa"/>
            <w:shd w:val="clear" w:color="auto" w:fill="F4F5F6"/>
            <w:tcMar>
              <w:top w:w="105" w:type="dxa"/>
              <w:left w:w="125" w:type="dxa"/>
              <w:bottom w:w="105" w:type="dxa"/>
              <w:right w:w="125" w:type="dxa"/>
            </w:tcMar>
            <w:vAlign w:val="center"/>
          </w:tcPr>
          <w:p w14:paraId="7FADCC80" w14:textId="77777777" w:rsidR="00D07ADA" w:rsidRDefault="00000000">
            <w:r>
              <w:rPr>
                <w:rFonts w:ascii="Arial" w:hAnsi="Arial"/>
                <w:color w:val="262626"/>
                <w:sz w:val="16"/>
              </w:rPr>
              <w:t>Powerful/inevitable use + delegation risk → responsible-integration/competence-retention tension.</w:t>
            </w:r>
          </w:p>
        </w:tc>
        <w:tc>
          <w:tcPr>
            <w:tcW w:w="4790" w:type="dxa"/>
            <w:shd w:val="clear" w:color="auto" w:fill="F4F5F6"/>
            <w:tcMar>
              <w:top w:w="105" w:type="dxa"/>
              <w:left w:w="125" w:type="dxa"/>
              <w:bottom w:w="105" w:type="dxa"/>
              <w:right w:w="125" w:type="dxa"/>
            </w:tcMar>
            <w:vAlign w:val="center"/>
          </w:tcPr>
          <w:p w14:paraId="498B369F" w14:textId="77777777" w:rsidR="00D07ADA" w:rsidRDefault="00000000">
            <w:r>
              <w:rPr>
                <w:rFonts w:ascii="Arial" w:hAnsi="Arial"/>
                <w:color w:val="262626"/>
                <w:sz w:val="16"/>
              </w:rPr>
              <w:t>Retain; preserve independent evidence of learning and foundational competence.</w:t>
            </w:r>
          </w:p>
        </w:tc>
      </w:tr>
    </w:tbl>
    <w:p w14:paraId="38F11D60" w14:textId="77777777" w:rsidR="00D07ADA" w:rsidRDefault="00D07ADA">
      <w:pPr>
        <w:pStyle w:val="AnalysisBody"/>
      </w:pPr>
    </w:p>
    <w:p w14:paraId="1500C4AB" w14:textId="77777777" w:rsidR="00D07ADA" w:rsidRDefault="00000000">
      <w:r>
        <w:br w:type="page"/>
      </w:r>
    </w:p>
    <w:p w14:paraId="598590F6" w14:textId="77777777" w:rsidR="00D07ADA" w:rsidRDefault="00000000">
      <w:pPr>
        <w:pStyle w:val="AnalysisHeading1"/>
      </w:pPr>
      <w:r>
        <w:lastRenderedPageBreak/>
        <w:t>2. Summative Findings Beyond the Survey and SMS</w:t>
      </w:r>
    </w:p>
    <w:p w14:paraId="3550AD56" w14:textId="3CBBC61B" w:rsidR="00D07ADA" w:rsidRDefault="00D07ADA">
      <w:pPr>
        <w:pStyle w:val="AnalysisCaption"/>
      </w:pPr>
    </w:p>
    <w:tbl>
      <w:tblPr>
        <w:tblW w:w="15240" w:type="dxa"/>
        <w:tblInd w:w="125" w:type="dxa"/>
        <w:tblBorders>
          <w:top w:val="single" w:sz="4" w:space="0" w:color="C7C9CC"/>
          <w:left w:val="single" w:sz="4" w:space="0" w:color="C7C9CC"/>
          <w:bottom w:val="single" w:sz="4" w:space="0" w:color="C7C9CC"/>
          <w:right w:val="single" w:sz="4" w:space="0" w:color="C7C9CC"/>
          <w:insideH w:val="single" w:sz="4" w:space="0" w:color="C7C9CC"/>
          <w:insideV w:val="single" w:sz="4" w:space="0" w:color="C7C9CC"/>
        </w:tblBorders>
        <w:tblLayout w:type="fixed"/>
        <w:tblLook w:val="04A0" w:firstRow="1" w:lastRow="0" w:firstColumn="1" w:lastColumn="0" w:noHBand="0" w:noVBand="1"/>
      </w:tblPr>
      <w:tblGrid>
        <w:gridCol w:w="3150"/>
        <w:gridCol w:w="6300"/>
        <w:gridCol w:w="1900"/>
        <w:gridCol w:w="3890"/>
      </w:tblGrid>
      <w:tr w:rsidR="00D07ADA" w14:paraId="5AE3F358" w14:textId="77777777">
        <w:trPr>
          <w:cantSplit/>
          <w:tblHeader/>
        </w:trPr>
        <w:tc>
          <w:tcPr>
            <w:tcW w:w="3150" w:type="dxa"/>
            <w:shd w:val="clear" w:color="auto" w:fill="8B0D26"/>
            <w:tcMar>
              <w:top w:w="105" w:type="dxa"/>
              <w:left w:w="125" w:type="dxa"/>
              <w:bottom w:w="105" w:type="dxa"/>
              <w:right w:w="125" w:type="dxa"/>
            </w:tcMar>
            <w:vAlign w:val="center"/>
          </w:tcPr>
          <w:p w14:paraId="731692EE" w14:textId="77777777" w:rsidR="00D07ADA" w:rsidRDefault="00000000">
            <w:pPr>
              <w:jc w:val="center"/>
            </w:pPr>
            <w:r>
              <w:rPr>
                <w:rFonts w:ascii="Arial" w:hAnsi="Arial"/>
                <w:b/>
                <w:color w:val="FFFFFF"/>
                <w:sz w:val="15"/>
              </w:rPr>
              <w:t>Summative finding</w:t>
            </w:r>
          </w:p>
        </w:tc>
        <w:tc>
          <w:tcPr>
            <w:tcW w:w="6300" w:type="dxa"/>
            <w:shd w:val="clear" w:color="auto" w:fill="8B0D26"/>
            <w:tcMar>
              <w:top w:w="105" w:type="dxa"/>
              <w:left w:w="125" w:type="dxa"/>
              <w:bottom w:w="105" w:type="dxa"/>
              <w:right w:w="125" w:type="dxa"/>
            </w:tcMar>
            <w:vAlign w:val="center"/>
          </w:tcPr>
          <w:p w14:paraId="440FBABC" w14:textId="77777777" w:rsidR="00D07ADA" w:rsidRDefault="00000000">
            <w:pPr>
              <w:jc w:val="center"/>
            </w:pPr>
            <w:r>
              <w:rPr>
                <w:rFonts w:ascii="Arial" w:hAnsi="Arial"/>
                <w:b/>
                <w:color w:val="FFFFFF"/>
                <w:sz w:val="15"/>
              </w:rPr>
              <w:t>How I2 extends the prior evidence</w:t>
            </w:r>
          </w:p>
        </w:tc>
        <w:tc>
          <w:tcPr>
            <w:tcW w:w="1900" w:type="dxa"/>
            <w:shd w:val="clear" w:color="auto" w:fill="8B0D26"/>
            <w:tcMar>
              <w:top w:w="105" w:type="dxa"/>
              <w:left w:w="125" w:type="dxa"/>
              <w:bottom w:w="105" w:type="dxa"/>
              <w:right w:w="125" w:type="dxa"/>
            </w:tcMar>
            <w:vAlign w:val="center"/>
          </w:tcPr>
          <w:p w14:paraId="2A7B84F5" w14:textId="77777777" w:rsidR="00D07ADA" w:rsidRDefault="00000000">
            <w:pPr>
              <w:jc w:val="center"/>
            </w:pPr>
            <w:r>
              <w:rPr>
                <w:rFonts w:ascii="Arial" w:hAnsi="Arial"/>
                <w:b/>
                <w:color w:val="FFFFFF"/>
                <w:sz w:val="15"/>
              </w:rPr>
              <w:t>I2 evidence</w:t>
            </w:r>
          </w:p>
        </w:tc>
        <w:tc>
          <w:tcPr>
            <w:tcW w:w="3890" w:type="dxa"/>
            <w:shd w:val="clear" w:color="auto" w:fill="8B0D26"/>
            <w:tcMar>
              <w:top w:w="105" w:type="dxa"/>
              <w:left w:w="125" w:type="dxa"/>
              <w:bottom w:w="105" w:type="dxa"/>
              <w:right w:w="125" w:type="dxa"/>
            </w:tcMar>
            <w:vAlign w:val="center"/>
          </w:tcPr>
          <w:p w14:paraId="5FA8697E" w14:textId="77777777" w:rsidR="00D07ADA" w:rsidRDefault="00000000">
            <w:pPr>
              <w:jc w:val="center"/>
            </w:pPr>
            <w:r>
              <w:rPr>
                <w:rFonts w:ascii="Arial" w:hAnsi="Arial"/>
                <w:b/>
                <w:color w:val="FFFFFF"/>
                <w:sz w:val="15"/>
              </w:rPr>
              <w:t>Implication / status</w:t>
            </w:r>
          </w:p>
        </w:tc>
      </w:tr>
      <w:tr w:rsidR="00D07ADA" w14:paraId="051FF2DB" w14:textId="77777777">
        <w:trPr>
          <w:cantSplit/>
        </w:trPr>
        <w:tc>
          <w:tcPr>
            <w:tcW w:w="3150" w:type="dxa"/>
            <w:shd w:val="clear" w:color="auto" w:fill="FFFFFF"/>
            <w:tcMar>
              <w:top w:w="105" w:type="dxa"/>
              <w:left w:w="125" w:type="dxa"/>
              <w:bottom w:w="105" w:type="dxa"/>
              <w:right w:w="125" w:type="dxa"/>
            </w:tcMar>
            <w:vAlign w:val="center"/>
          </w:tcPr>
          <w:p w14:paraId="75FB585F" w14:textId="77777777" w:rsidR="00D07ADA" w:rsidRDefault="00000000">
            <w:pPr>
              <w:jc w:val="center"/>
            </w:pPr>
            <w:r>
              <w:rPr>
                <w:rFonts w:ascii="Arial" w:hAnsi="Arial"/>
                <w:color w:val="262626"/>
                <w:sz w:val="16"/>
              </w:rPr>
              <w:t>Course-by-course assessment may be too narrow</w:t>
            </w:r>
          </w:p>
        </w:tc>
        <w:tc>
          <w:tcPr>
            <w:tcW w:w="6300" w:type="dxa"/>
            <w:shd w:val="clear" w:color="auto" w:fill="FFFFFF"/>
            <w:tcMar>
              <w:top w:w="105" w:type="dxa"/>
              <w:left w:w="125" w:type="dxa"/>
              <w:bottom w:w="105" w:type="dxa"/>
              <w:right w:w="125" w:type="dxa"/>
            </w:tcMar>
            <w:vAlign w:val="center"/>
          </w:tcPr>
          <w:p w14:paraId="467A39CF" w14:textId="77777777" w:rsidR="00D07ADA" w:rsidRDefault="00000000">
            <w:r>
              <w:rPr>
                <w:rFonts w:ascii="Arial" w:hAnsi="Arial"/>
                <w:color w:val="262626"/>
                <w:sz w:val="16"/>
              </w:rPr>
              <w:t>The survey and SMS concern tasks and assessment formats. I2 proposes integrated checks across a cluster of courses or a specialization to assess connections among competences and potentially consolidate resource-intensive verification.</w:t>
            </w:r>
          </w:p>
        </w:tc>
        <w:tc>
          <w:tcPr>
            <w:tcW w:w="1900" w:type="dxa"/>
            <w:shd w:val="clear" w:color="auto" w:fill="FFFFFF"/>
            <w:tcMar>
              <w:top w:w="105" w:type="dxa"/>
              <w:left w:w="125" w:type="dxa"/>
              <w:bottom w:w="105" w:type="dxa"/>
              <w:right w:w="125" w:type="dxa"/>
            </w:tcMar>
            <w:vAlign w:val="center"/>
          </w:tcPr>
          <w:p w14:paraId="5A08996F" w14:textId="77777777" w:rsidR="00D07ADA" w:rsidRDefault="00000000">
            <w:r>
              <w:rPr>
                <w:rFonts w:ascii="Arial" w:hAnsi="Arial"/>
                <w:color w:val="262626"/>
                <w:sz w:val="16"/>
              </w:rPr>
              <w:t>22:12–23:44</w:t>
            </w:r>
          </w:p>
        </w:tc>
        <w:tc>
          <w:tcPr>
            <w:tcW w:w="3890" w:type="dxa"/>
            <w:shd w:val="clear" w:color="auto" w:fill="FFFFFF"/>
            <w:tcMar>
              <w:top w:w="105" w:type="dxa"/>
              <w:left w:w="125" w:type="dxa"/>
              <w:bottom w:w="105" w:type="dxa"/>
              <w:right w:w="125" w:type="dxa"/>
            </w:tcMar>
            <w:vAlign w:val="center"/>
          </w:tcPr>
          <w:p w14:paraId="16F30BFF" w14:textId="77777777" w:rsidR="00D07ADA" w:rsidRDefault="00000000">
            <w:r>
              <w:rPr>
                <w:rFonts w:ascii="Arial" w:hAnsi="Arial"/>
                <w:color w:val="262626"/>
                <w:sz w:val="16"/>
              </w:rPr>
              <w:t>Consider a programme-level complement to the task-level framework. New level of analysis and scalability proposition; provisional.</w:t>
            </w:r>
          </w:p>
        </w:tc>
      </w:tr>
      <w:tr w:rsidR="00D07ADA" w14:paraId="1DBC0AB1" w14:textId="77777777">
        <w:trPr>
          <w:cantSplit/>
        </w:trPr>
        <w:tc>
          <w:tcPr>
            <w:tcW w:w="3150" w:type="dxa"/>
            <w:shd w:val="clear" w:color="auto" w:fill="F4F5F6"/>
            <w:tcMar>
              <w:top w:w="105" w:type="dxa"/>
              <w:left w:w="125" w:type="dxa"/>
              <w:bottom w:w="105" w:type="dxa"/>
              <w:right w:w="125" w:type="dxa"/>
            </w:tcMar>
            <w:vAlign w:val="center"/>
          </w:tcPr>
          <w:p w14:paraId="35B47E65" w14:textId="77777777" w:rsidR="00D07ADA" w:rsidRDefault="00000000">
            <w:pPr>
              <w:jc w:val="center"/>
            </w:pPr>
            <w:r>
              <w:rPr>
                <w:rFonts w:ascii="Arial" w:hAnsi="Arial"/>
                <w:color w:val="262626"/>
                <w:sz w:val="16"/>
              </w:rPr>
              <w:t>Disclosure rules have an honesty and enforceability dependency</w:t>
            </w:r>
          </w:p>
        </w:tc>
        <w:tc>
          <w:tcPr>
            <w:tcW w:w="6300" w:type="dxa"/>
            <w:shd w:val="clear" w:color="auto" w:fill="F4F5F6"/>
            <w:tcMar>
              <w:top w:w="105" w:type="dxa"/>
              <w:left w:w="125" w:type="dxa"/>
              <w:bottom w:w="105" w:type="dxa"/>
              <w:right w:w="125" w:type="dxa"/>
            </w:tcMar>
            <w:vAlign w:val="center"/>
          </w:tcPr>
          <w:p w14:paraId="6861C36D" w14:textId="77777777" w:rsidR="00D07ADA" w:rsidRDefault="00000000">
            <w:r>
              <w:rPr>
                <w:rFonts w:ascii="Arial" w:hAnsi="Arial"/>
                <w:color w:val="262626"/>
                <w:sz w:val="16"/>
              </w:rPr>
              <w:t>Prior evidence supports explicit rules and disclosure. I2 adds the mechanism that rules may be bypassed or faked when infringement cannot be identified reliably.</w:t>
            </w:r>
          </w:p>
        </w:tc>
        <w:tc>
          <w:tcPr>
            <w:tcW w:w="1900" w:type="dxa"/>
            <w:shd w:val="clear" w:color="auto" w:fill="F4F5F6"/>
            <w:tcMar>
              <w:top w:w="105" w:type="dxa"/>
              <w:left w:w="125" w:type="dxa"/>
              <w:bottom w:w="105" w:type="dxa"/>
              <w:right w:w="125" w:type="dxa"/>
            </w:tcMar>
            <w:vAlign w:val="center"/>
          </w:tcPr>
          <w:p w14:paraId="09932B88" w14:textId="77777777" w:rsidR="00D07ADA" w:rsidRDefault="00000000">
            <w:r>
              <w:rPr>
                <w:rFonts w:ascii="Arial" w:hAnsi="Arial"/>
                <w:color w:val="262626"/>
                <w:sz w:val="16"/>
              </w:rPr>
              <w:t>7:40–8:37</w:t>
            </w:r>
          </w:p>
        </w:tc>
        <w:tc>
          <w:tcPr>
            <w:tcW w:w="3890" w:type="dxa"/>
            <w:shd w:val="clear" w:color="auto" w:fill="F4F5F6"/>
            <w:tcMar>
              <w:top w:w="105" w:type="dxa"/>
              <w:left w:w="125" w:type="dxa"/>
              <w:bottom w:w="105" w:type="dxa"/>
              <w:right w:w="125" w:type="dxa"/>
            </w:tcMar>
            <w:vAlign w:val="center"/>
          </w:tcPr>
          <w:p w14:paraId="6DF9A857" w14:textId="77777777" w:rsidR="00D07ADA" w:rsidRDefault="00000000">
            <w:r>
              <w:rPr>
                <w:rFonts w:ascii="Arial" w:hAnsi="Arial"/>
                <w:color w:val="262626"/>
                <w:sz w:val="16"/>
              </w:rPr>
              <w:t>Treat disclosure as transparency evidence, not proof of compliance; connect G2 to competence evidence and targeted verification. Implementation mechanism; provisional.</w:t>
            </w:r>
          </w:p>
        </w:tc>
      </w:tr>
      <w:tr w:rsidR="00D07ADA" w14:paraId="4D4E8167" w14:textId="77777777">
        <w:trPr>
          <w:cantSplit/>
        </w:trPr>
        <w:tc>
          <w:tcPr>
            <w:tcW w:w="3150" w:type="dxa"/>
            <w:shd w:val="clear" w:color="auto" w:fill="FFFFFF"/>
            <w:tcMar>
              <w:top w:w="105" w:type="dxa"/>
              <w:left w:w="125" w:type="dxa"/>
              <w:bottom w:w="105" w:type="dxa"/>
              <w:right w:w="125" w:type="dxa"/>
            </w:tcMar>
            <w:vAlign w:val="center"/>
          </w:tcPr>
          <w:p w14:paraId="51F2F028" w14:textId="77777777" w:rsidR="00D07ADA" w:rsidRDefault="00000000">
            <w:pPr>
              <w:jc w:val="center"/>
            </w:pPr>
            <w:r>
              <w:rPr>
                <w:rFonts w:ascii="Arial" w:hAnsi="Arial"/>
                <w:color w:val="262626"/>
                <w:sz w:val="16"/>
              </w:rPr>
              <w:t>Assessment design may need an explicit GenAI-sensitivity profile</w:t>
            </w:r>
          </w:p>
        </w:tc>
        <w:tc>
          <w:tcPr>
            <w:tcW w:w="6300" w:type="dxa"/>
            <w:shd w:val="clear" w:color="auto" w:fill="FFFFFF"/>
            <w:tcMar>
              <w:top w:w="105" w:type="dxa"/>
              <w:left w:w="125" w:type="dxa"/>
              <w:bottom w:w="105" w:type="dxa"/>
              <w:right w:w="125" w:type="dxa"/>
            </w:tcMar>
            <w:vAlign w:val="center"/>
          </w:tcPr>
          <w:p w14:paraId="6FF40FC9" w14:textId="77777777" w:rsidR="00D07ADA" w:rsidRDefault="00000000">
            <w:r>
              <w:rPr>
                <w:rFonts w:ascii="Arial" w:hAnsi="Arial"/>
                <w:color w:val="262626"/>
                <w:sz w:val="16"/>
              </w:rPr>
              <w:t>Prior evidence is format-sensitive. I2 says the distinction between tasks that can accommodate GenAI and tasks for which it greatly complicates assessment remains implicit.</w:t>
            </w:r>
          </w:p>
        </w:tc>
        <w:tc>
          <w:tcPr>
            <w:tcW w:w="1900" w:type="dxa"/>
            <w:shd w:val="clear" w:color="auto" w:fill="FFFFFF"/>
            <w:tcMar>
              <w:top w:w="105" w:type="dxa"/>
              <w:left w:w="125" w:type="dxa"/>
              <w:bottom w:w="105" w:type="dxa"/>
              <w:right w:w="125" w:type="dxa"/>
            </w:tcMar>
            <w:vAlign w:val="center"/>
          </w:tcPr>
          <w:p w14:paraId="010E8962" w14:textId="77777777" w:rsidR="00D07ADA" w:rsidRDefault="00000000">
            <w:r>
              <w:rPr>
                <w:rFonts w:ascii="Arial" w:hAnsi="Arial"/>
                <w:color w:val="262626"/>
                <w:sz w:val="16"/>
              </w:rPr>
              <w:t>3:05–3:59; 15:53–16:35</w:t>
            </w:r>
          </w:p>
        </w:tc>
        <w:tc>
          <w:tcPr>
            <w:tcW w:w="3890" w:type="dxa"/>
            <w:shd w:val="clear" w:color="auto" w:fill="FFFFFF"/>
            <w:tcMar>
              <w:top w:w="105" w:type="dxa"/>
              <w:left w:w="125" w:type="dxa"/>
              <w:bottom w:w="105" w:type="dxa"/>
              <w:right w:w="125" w:type="dxa"/>
            </w:tcMar>
            <w:vAlign w:val="center"/>
          </w:tcPr>
          <w:p w14:paraId="25B935B7" w14:textId="77777777" w:rsidR="00D07ADA" w:rsidRDefault="00000000">
            <w:r>
              <w:rPr>
                <w:rFonts w:ascii="Arial" w:hAnsi="Arial"/>
                <w:color w:val="262626"/>
                <w:sz w:val="16"/>
              </w:rPr>
              <w:t>Make task-level substitution capacity and control difficulty visible alongside assessment format. Specification/visibility gap rather than a wholly new phenomenon.</w:t>
            </w:r>
          </w:p>
        </w:tc>
      </w:tr>
      <w:tr w:rsidR="00D07ADA" w14:paraId="49B4198D" w14:textId="77777777">
        <w:trPr>
          <w:cantSplit/>
        </w:trPr>
        <w:tc>
          <w:tcPr>
            <w:tcW w:w="3150" w:type="dxa"/>
            <w:shd w:val="clear" w:color="auto" w:fill="F4F5F6"/>
            <w:tcMar>
              <w:top w:w="105" w:type="dxa"/>
              <w:left w:w="125" w:type="dxa"/>
              <w:bottom w:w="105" w:type="dxa"/>
              <w:right w:w="125" w:type="dxa"/>
            </w:tcMar>
            <w:vAlign w:val="center"/>
          </w:tcPr>
          <w:p w14:paraId="57C71C2E" w14:textId="77777777" w:rsidR="00D07ADA" w:rsidRDefault="00000000">
            <w:pPr>
              <w:jc w:val="center"/>
            </w:pPr>
            <w:r>
              <w:rPr>
                <w:rFonts w:ascii="Arial" w:hAnsi="Arial"/>
                <w:color w:val="262626"/>
                <w:sz w:val="16"/>
              </w:rPr>
              <w:t>Proportionality wording can obscure the workload rationale</w:t>
            </w:r>
          </w:p>
        </w:tc>
        <w:tc>
          <w:tcPr>
            <w:tcW w:w="6300" w:type="dxa"/>
            <w:shd w:val="clear" w:color="auto" w:fill="F4F5F6"/>
            <w:tcMar>
              <w:top w:w="105" w:type="dxa"/>
              <w:left w:w="125" w:type="dxa"/>
              <w:bottom w:w="105" w:type="dxa"/>
              <w:right w:w="125" w:type="dxa"/>
            </w:tcMar>
            <w:vAlign w:val="center"/>
          </w:tcPr>
          <w:p w14:paraId="0C90E515" w14:textId="77777777" w:rsidR="00D07ADA" w:rsidRDefault="00000000">
            <w:r>
              <w:rPr>
                <w:rFonts w:ascii="Arial" w:hAnsi="Arial"/>
                <w:color w:val="262626"/>
                <w:sz w:val="16"/>
              </w:rPr>
              <w:t>Scalability appears in the prior evidence, but I2 could not interpret “smallest amount” until it was explained as balancing sufficient evidence against educator workload.</w:t>
            </w:r>
          </w:p>
        </w:tc>
        <w:tc>
          <w:tcPr>
            <w:tcW w:w="1900" w:type="dxa"/>
            <w:shd w:val="clear" w:color="auto" w:fill="F4F5F6"/>
            <w:tcMar>
              <w:top w:w="105" w:type="dxa"/>
              <w:left w:w="125" w:type="dxa"/>
              <w:bottom w:w="105" w:type="dxa"/>
              <w:right w:w="125" w:type="dxa"/>
            </w:tcMar>
            <w:vAlign w:val="center"/>
          </w:tcPr>
          <w:p w14:paraId="2DB11E56" w14:textId="77777777" w:rsidR="00D07ADA" w:rsidRDefault="00000000">
            <w:r>
              <w:rPr>
                <w:rFonts w:ascii="Arial" w:hAnsi="Arial"/>
                <w:color w:val="262626"/>
                <w:sz w:val="16"/>
              </w:rPr>
              <w:t>10:49–13:35</w:t>
            </w:r>
          </w:p>
        </w:tc>
        <w:tc>
          <w:tcPr>
            <w:tcW w:w="3890" w:type="dxa"/>
            <w:shd w:val="clear" w:color="auto" w:fill="F4F5F6"/>
            <w:tcMar>
              <w:top w:w="105" w:type="dxa"/>
              <w:left w:w="125" w:type="dxa"/>
              <w:bottom w:w="105" w:type="dxa"/>
              <w:right w:w="125" w:type="dxa"/>
            </w:tcMar>
            <w:vAlign w:val="center"/>
          </w:tcPr>
          <w:p w14:paraId="7EE59C8F" w14:textId="77777777" w:rsidR="00D07ADA" w:rsidRDefault="00000000">
            <w:r>
              <w:rPr>
                <w:rFonts w:ascii="Arial" w:hAnsi="Arial"/>
                <w:color w:val="262626"/>
                <w:sz w:val="16"/>
              </w:rPr>
              <w:t>Define G3 as the least burdensome evidence sufficient for the judgment. New guideline-clarity finding.</w:t>
            </w:r>
          </w:p>
        </w:tc>
      </w:tr>
      <w:tr w:rsidR="00D07ADA" w14:paraId="4D406F19" w14:textId="77777777">
        <w:trPr>
          <w:cantSplit/>
        </w:trPr>
        <w:tc>
          <w:tcPr>
            <w:tcW w:w="3150" w:type="dxa"/>
            <w:shd w:val="clear" w:color="auto" w:fill="FFFFFF"/>
            <w:tcMar>
              <w:top w:w="105" w:type="dxa"/>
              <w:left w:w="125" w:type="dxa"/>
              <w:bottom w:w="105" w:type="dxa"/>
              <w:right w:w="125" w:type="dxa"/>
            </w:tcMar>
            <w:vAlign w:val="center"/>
          </w:tcPr>
          <w:p w14:paraId="1D451CF4" w14:textId="77777777" w:rsidR="00D07ADA" w:rsidRDefault="00000000">
            <w:pPr>
              <w:jc w:val="center"/>
            </w:pPr>
            <w:r>
              <w:rPr>
                <w:rFonts w:ascii="Arial" w:hAnsi="Arial"/>
                <w:color w:val="262626"/>
                <w:sz w:val="16"/>
              </w:rPr>
              <w:t>Potential relevance beyond computing is paired with an awareness gap</w:t>
            </w:r>
          </w:p>
        </w:tc>
        <w:tc>
          <w:tcPr>
            <w:tcW w:w="6300" w:type="dxa"/>
            <w:shd w:val="clear" w:color="auto" w:fill="FFFFFF"/>
            <w:tcMar>
              <w:top w:w="105" w:type="dxa"/>
              <w:left w:w="125" w:type="dxa"/>
              <w:bottom w:w="105" w:type="dxa"/>
              <w:right w:w="125" w:type="dxa"/>
            </w:tcMar>
            <w:vAlign w:val="center"/>
          </w:tcPr>
          <w:p w14:paraId="7F74713D" w14:textId="77777777" w:rsidR="00D07ADA" w:rsidRDefault="00000000">
            <w:r>
              <w:rPr>
                <w:rFonts w:ascii="Arial" w:hAnsi="Arial"/>
                <w:color w:val="262626"/>
                <w:sz w:val="16"/>
              </w:rPr>
              <w:t>The evidence base and intended scope concern software engineering. I2 suggests that report-oriented disciplines may underestimate GenAI's capacity to generate plausible work and could benefit from similar guidance.</w:t>
            </w:r>
          </w:p>
        </w:tc>
        <w:tc>
          <w:tcPr>
            <w:tcW w:w="1900" w:type="dxa"/>
            <w:shd w:val="clear" w:color="auto" w:fill="FFFFFF"/>
            <w:tcMar>
              <w:top w:w="105" w:type="dxa"/>
              <w:left w:w="125" w:type="dxa"/>
              <w:bottom w:w="105" w:type="dxa"/>
              <w:right w:w="125" w:type="dxa"/>
            </w:tcMar>
            <w:vAlign w:val="center"/>
          </w:tcPr>
          <w:p w14:paraId="31291EA2" w14:textId="77777777" w:rsidR="00D07ADA" w:rsidRDefault="00000000">
            <w:r>
              <w:rPr>
                <w:rFonts w:ascii="Arial" w:hAnsi="Arial"/>
                <w:color w:val="262626"/>
                <w:sz w:val="16"/>
              </w:rPr>
              <w:t>19:22–21:17</w:t>
            </w:r>
          </w:p>
        </w:tc>
        <w:tc>
          <w:tcPr>
            <w:tcW w:w="3890" w:type="dxa"/>
            <w:shd w:val="clear" w:color="auto" w:fill="FFFFFF"/>
            <w:tcMar>
              <w:top w:w="105" w:type="dxa"/>
              <w:left w:w="125" w:type="dxa"/>
              <w:bottom w:w="105" w:type="dxa"/>
              <w:right w:w="125" w:type="dxa"/>
            </w:tcMar>
            <w:vAlign w:val="center"/>
          </w:tcPr>
          <w:p w14:paraId="1188EEDE" w14:textId="77777777" w:rsidR="00D07ADA" w:rsidRDefault="00000000">
            <w:r>
              <w:rPr>
                <w:rFonts w:ascii="Arial" w:hAnsi="Arial"/>
                <w:color w:val="262626"/>
                <w:sz w:val="16"/>
              </w:rPr>
              <w:t>Treat cross-disciplinary transfer as a hypothesis for separate evaluation, not as supported generalizability. New scope proposition; outside current evidence.</w:t>
            </w:r>
          </w:p>
        </w:tc>
      </w:tr>
    </w:tbl>
    <w:p w14:paraId="3BF2F19E" w14:textId="77777777" w:rsidR="00D07ADA" w:rsidRDefault="00D07ADA">
      <w:pPr>
        <w:pStyle w:val="AnalysisBody"/>
      </w:pPr>
    </w:p>
    <w:sectPr w:rsidR="00D07ADA">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6C266E"/>
    <w:multiLevelType w:val="hybridMultilevel"/>
    <w:tmpl w:val="163A32F4"/>
    <w:lvl w:ilvl="0" w:tplc="343C44CA">
      <w:start w:val="1"/>
      <w:numFmt w:val="bullet"/>
      <w:lvlText w:val="●"/>
      <w:lvlJc w:val="left"/>
      <w:pPr>
        <w:ind w:left="720" w:hanging="360"/>
      </w:pPr>
    </w:lvl>
    <w:lvl w:ilvl="1" w:tplc="7108B4DA">
      <w:start w:val="1"/>
      <w:numFmt w:val="bullet"/>
      <w:lvlText w:val="○"/>
      <w:lvlJc w:val="left"/>
      <w:pPr>
        <w:ind w:left="1440" w:hanging="360"/>
      </w:pPr>
    </w:lvl>
    <w:lvl w:ilvl="2" w:tplc="8FF8A1F4">
      <w:start w:val="1"/>
      <w:numFmt w:val="bullet"/>
      <w:lvlText w:val="■"/>
      <w:lvlJc w:val="left"/>
      <w:pPr>
        <w:ind w:left="2160" w:hanging="360"/>
      </w:pPr>
    </w:lvl>
    <w:lvl w:ilvl="3" w:tplc="AF5CED48">
      <w:start w:val="1"/>
      <w:numFmt w:val="bullet"/>
      <w:lvlText w:val="●"/>
      <w:lvlJc w:val="left"/>
      <w:pPr>
        <w:ind w:left="2880" w:hanging="360"/>
      </w:pPr>
    </w:lvl>
    <w:lvl w:ilvl="4" w:tplc="81A4E9F6">
      <w:start w:val="1"/>
      <w:numFmt w:val="bullet"/>
      <w:lvlText w:val="○"/>
      <w:lvlJc w:val="left"/>
      <w:pPr>
        <w:ind w:left="3600" w:hanging="360"/>
      </w:pPr>
    </w:lvl>
    <w:lvl w:ilvl="5" w:tplc="1498691E">
      <w:start w:val="1"/>
      <w:numFmt w:val="bullet"/>
      <w:lvlText w:val="■"/>
      <w:lvlJc w:val="left"/>
      <w:pPr>
        <w:ind w:left="4320" w:hanging="360"/>
      </w:pPr>
    </w:lvl>
    <w:lvl w:ilvl="6" w:tplc="0C50A32C">
      <w:start w:val="1"/>
      <w:numFmt w:val="bullet"/>
      <w:lvlText w:val="●"/>
      <w:lvlJc w:val="left"/>
      <w:pPr>
        <w:ind w:left="5040" w:hanging="360"/>
      </w:pPr>
    </w:lvl>
    <w:lvl w:ilvl="7" w:tplc="6ECAA806">
      <w:start w:val="1"/>
      <w:numFmt w:val="bullet"/>
      <w:lvlText w:val="●"/>
      <w:lvlJc w:val="left"/>
      <w:pPr>
        <w:ind w:left="5760" w:hanging="360"/>
      </w:pPr>
    </w:lvl>
    <w:lvl w:ilvl="8" w:tplc="7464ADAE">
      <w:start w:val="1"/>
      <w:numFmt w:val="bullet"/>
      <w:lvlText w:val="●"/>
      <w:lvlJc w:val="left"/>
      <w:pPr>
        <w:ind w:left="6480" w:hanging="360"/>
      </w:pPr>
    </w:lvl>
  </w:abstractNum>
  <w:num w:numId="1" w16cid:durableId="5708967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B6D"/>
    <w:rsid w:val="00123033"/>
    <w:rsid w:val="00281B6D"/>
    <w:rsid w:val="00823915"/>
    <w:rsid w:val="00981AF2"/>
    <w:rsid w:val="00D07ADA"/>
    <w:rsid w:val="00FE3CA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154D2E3D"/>
  <w15:docId w15:val="{05B2D1A1-7865-C14F-A3AC-4489C357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AnalysisHeading1">
    <w:name w:val="Analysis Heading 1"/>
    <w:basedOn w:val="Normal"/>
    <w:pPr>
      <w:keepNext/>
      <w:spacing w:before="200" w:after="140"/>
    </w:pPr>
    <w:rPr>
      <w:rFonts w:ascii="Arial" w:hAnsi="Arial"/>
      <w:b/>
      <w:color w:val="8B0D26"/>
      <w:sz w:val="32"/>
    </w:rPr>
  </w:style>
  <w:style w:type="paragraph" w:customStyle="1" w:styleId="AnalysisBody">
    <w:name w:val="Analysis Body"/>
    <w:basedOn w:val="Normal"/>
    <w:pPr>
      <w:spacing w:after="100" w:line="252" w:lineRule="auto"/>
    </w:pPr>
    <w:rPr>
      <w:rFonts w:ascii="Arial" w:hAnsi="Arial"/>
      <w:color w:val="262626"/>
      <w:sz w:val="19"/>
    </w:rPr>
  </w:style>
  <w:style w:type="paragraph" w:customStyle="1" w:styleId="AnalysisCaption">
    <w:name w:val="Analysis Caption"/>
    <w:basedOn w:val="Normal"/>
    <w:pPr>
      <w:keepNext/>
      <w:spacing w:before="40" w:after="80"/>
    </w:pPr>
    <w:rPr>
      <w:rFonts w:ascii="Arial" w:hAnsi="Arial"/>
      <w:b/>
      <w:color w:val="5E5E5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2884</Words>
  <Characters>16441</Characters>
  <Application>Microsoft Office Word</Application>
  <DocSecurity>0</DocSecurity>
  <Lines>137</Lines>
  <Paragraphs>38</Paragraphs>
  <ScaleCrop>false</ScaleCrop>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Alessio Bucaioni</cp:lastModifiedBy>
  <cp:revision>3</cp:revision>
  <dcterms:created xsi:type="dcterms:W3CDTF">2026-08-06T20:21:00Z</dcterms:created>
  <dcterms:modified xsi:type="dcterms:W3CDTF">2026-09-21T12:34:00Z</dcterms:modified>
</cp:coreProperties>
</file>