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457901" w14:textId="77777777" w:rsidR="0006191D" w:rsidRDefault="00000000">
      <w:pPr>
        <w:spacing w:after="100"/>
      </w:pPr>
      <w:r>
        <w:rPr>
          <w:rFonts w:ascii="Segoe UI" w:eastAsia="Segoe UI" w:hAnsi="Segoe UI" w:cs="Segoe UI"/>
          <w:b/>
          <w:bCs/>
          <w:color w:val="323130"/>
          <w:sz w:val="34"/>
          <w:szCs w:val="34"/>
        </w:rPr>
        <w:t>Sv Follow up interviews on the perceived use of GenAI in university examinations</w:t>
      </w:r>
    </w:p>
    <w:p w14:paraId="7C400EAD" w14:textId="77777777" w:rsidR="0006191D" w:rsidRDefault="00000000">
      <w:pPr>
        <w:spacing w:line="300" w:lineRule="auto"/>
      </w:pPr>
      <w:r>
        <w:rPr>
          <w:noProof/>
        </w:rPr>
        <w:drawing>
          <wp:anchor distT="0" distB="0" distL="0" distR="0" simplePos="0" relativeHeight="251635200" behindDoc="0" locked="0" layoutInCell="1" allowOverlap="1" wp14:anchorId="0514DD7A" wp14:editId="0C814EC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0:12</w:t>
      </w:r>
      <w:r>
        <w:rPr>
          <w:rFonts w:ascii="Segoe UI" w:eastAsia="Segoe UI" w:hAnsi="Segoe UI" w:cs="Segoe UI"/>
          <w:color w:val="323130"/>
          <w:sz w:val="24"/>
          <w:szCs w:val="24"/>
        </w:rPr>
        <w:br/>
        <w:t>Good, we are back. So we can start. I guess you still hear me. So again, first of all, thank you so much to join this session. And before going into the details or</w:t>
      </w:r>
    </w:p>
    <w:p w14:paraId="407FF198"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0:14</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07641988" w14:textId="77777777" w:rsidR="0006191D" w:rsidRDefault="00000000">
      <w:pPr>
        <w:spacing w:line="300" w:lineRule="auto"/>
      </w:pPr>
      <w:r>
        <w:rPr>
          <w:noProof/>
        </w:rPr>
        <w:drawing>
          <wp:anchor distT="0" distB="0" distL="0" distR="0" simplePos="0" relativeHeight="251637248" behindDoc="0" locked="0" layoutInCell="1" allowOverlap="1" wp14:anchorId="0D3C9E8E" wp14:editId="699B715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0:31</w:t>
      </w:r>
      <w:r>
        <w:rPr>
          <w:rFonts w:ascii="Segoe UI" w:eastAsia="Segoe UI" w:hAnsi="Segoe UI" w:cs="Segoe UI"/>
          <w:color w:val="323130"/>
          <w:sz w:val="24"/>
          <w:szCs w:val="24"/>
        </w:rPr>
        <w:br/>
        <w:t>the questions related to the guidelines. If you can summarize in maybe 30 seconds your experience with teaching and evaluating students.</w:t>
      </w:r>
    </w:p>
    <w:p w14:paraId="26342A8F"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0:47</w:t>
      </w:r>
      <w:r>
        <w:rPr>
          <w:rFonts w:ascii="Segoe UI" w:eastAsia="Segoe UI" w:hAnsi="Segoe UI" w:cs="Segoe UI"/>
          <w:color w:val="323130"/>
          <w:sz w:val="24"/>
          <w:szCs w:val="24"/>
        </w:rPr>
        <w:br/>
        <w:t>So generally I'm teaching a few course, but also I'm a program coordinator and a thesis course coordinator. And I've been doing examination for courses and thesis courses as well. So that's</w:t>
      </w:r>
      <w:r>
        <w:rPr>
          <w:rFonts w:ascii="Segoe UI" w:eastAsia="Segoe UI" w:hAnsi="Segoe UI" w:cs="Segoe UI"/>
          <w:color w:val="323130"/>
          <w:sz w:val="24"/>
          <w:szCs w:val="24"/>
        </w:rPr>
        <w:br/>
        <w:t>My experience.</w:t>
      </w:r>
    </w:p>
    <w:p w14:paraId="3A51739C" w14:textId="77777777" w:rsidR="0006191D" w:rsidRDefault="00000000">
      <w:pPr>
        <w:spacing w:line="300" w:lineRule="auto"/>
      </w:pPr>
      <w:r>
        <w:rPr>
          <w:noProof/>
        </w:rPr>
        <w:drawing>
          <wp:anchor distT="0" distB="0" distL="0" distR="0" simplePos="0" relativeHeight="251639296" behindDoc="0" locked="0" layoutInCell="1" allowOverlap="1" wp14:anchorId="55EA9CE9" wp14:editId="24928BD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1:09</w:t>
      </w:r>
      <w:r>
        <w:rPr>
          <w:rFonts w:ascii="Segoe UI" w:eastAsia="Segoe UI" w:hAnsi="Segoe UI" w:cs="Segoe UI"/>
          <w:color w:val="323130"/>
          <w:sz w:val="24"/>
          <w:szCs w:val="24"/>
        </w:rPr>
        <w:br/>
        <w:t>Perfect. Thank you so much. So I shared by mail previously the set of guidelines and we will soon, you know, have the chance to discuss each and every guideline in detail. But before that, just to check if you can, let's say, explain in your own terms.</w:t>
      </w:r>
    </w:p>
    <w:p w14:paraId="61CD0255"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w:t>
      </w:r>
      <w:r>
        <w:rPr>
          <w:rFonts w:ascii="Segoe UI" w:eastAsia="Segoe UI" w:hAnsi="Segoe UI" w:cs="Segoe UI"/>
          <w:color w:val="323130"/>
          <w:sz w:val="24"/>
          <w:szCs w:val="24"/>
        </w:rPr>
        <w:br/>
        <w:t>Per.</w:t>
      </w:r>
    </w:p>
    <w:p w14:paraId="10DF6ED8" w14:textId="77777777" w:rsidR="0006191D" w:rsidRDefault="00000000">
      <w:pPr>
        <w:spacing w:line="300" w:lineRule="auto"/>
      </w:pPr>
      <w:r>
        <w:rPr>
          <w:noProof/>
        </w:rPr>
        <w:drawing>
          <wp:anchor distT="0" distB="0" distL="0" distR="0" simplePos="0" relativeHeight="251641344" behindDoc="0" locked="0" layoutInCell="1" allowOverlap="1" wp14:anchorId="2EECA808" wp14:editId="47F7199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1:30</w:t>
      </w:r>
      <w:r>
        <w:rPr>
          <w:rFonts w:ascii="Segoe UI" w:eastAsia="Segoe UI" w:hAnsi="Segoe UI" w:cs="Segoe UI"/>
          <w:color w:val="323130"/>
          <w:sz w:val="24"/>
          <w:szCs w:val="24"/>
        </w:rPr>
        <w:br/>
        <w:t>what, you know, what the, in your opinion, the guidelines as a whole, as a set, trying to achieve, if they seem overall clear, if you notice that there is something missing.</w:t>
      </w:r>
    </w:p>
    <w:p w14:paraId="66AC0086"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w:t>
      </w:r>
      <w:r>
        <w:rPr>
          <w:rFonts w:ascii="Segoe UI" w:eastAsia="Segoe UI" w:hAnsi="Segoe UI" w:cs="Segoe UI"/>
          <w:color w:val="323130"/>
          <w:sz w:val="24"/>
          <w:szCs w:val="24"/>
        </w:rPr>
        <w:br/>
        <w:t>No, I think it was clear. I went through the guidelines quickly, so it covers more or less the aspects that one can think of. So I can, I don't have anything to add actually.</w:t>
      </w:r>
    </w:p>
    <w:p w14:paraId="6F9D0D63" w14:textId="77777777" w:rsidR="0006191D" w:rsidRDefault="00000000">
      <w:pPr>
        <w:spacing w:line="300" w:lineRule="auto"/>
      </w:pPr>
      <w:r>
        <w:rPr>
          <w:noProof/>
        </w:rPr>
        <w:drawing>
          <wp:anchor distT="0" distB="0" distL="0" distR="0" simplePos="0" relativeHeight="251643392" behindDoc="0" locked="0" layoutInCell="1" allowOverlap="1" wp14:anchorId="2A033883" wp14:editId="589BC6B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2:02</w:t>
      </w:r>
      <w:r>
        <w:rPr>
          <w:rFonts w:ascii="Segoe UI" w:eastAsia="Segoe UI" w:hAnsi="Segoe UI" w:cs="Segoe UI"/>
          <w:color w:val="323130"/>
          <w:sz w:val="24"/>
          <w:szCs w:val="24"/>
        </w:rPr>
        <w:br/>
        <w:t>OK. And I mean, if you have anything else in mind, of course, we can discuss later on by the end of towards the end of the interview, maybe, you know, new thoughts will come. So then, yeah, then we can move to the to the guidelines and for each and every guidelines as anticipated by e-mail, I would like</w:t>
      </w:r>
    </w:p>
    <w:p w14:paraId="771780B4"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2:14</w:t>
      </w:r>
      <w:r>
        <w:rPr>
          <w:rFonts w:ascii="Segoe UI" w:eastAsia="Segoe UI" w:hAnsi="Segoe UI" w:cs="Segoe UI"/>
          <w:color w:val="323130"/>
          <w:sz w:val="24"/>
          <w:szCs w:val="24"/>
        </w:rPr>
        <w:br/>
        <w:t>Yes, good, yeah.</w:t>
      </w:r>
    </w:p>
    <w:p w14:paraId="5BB16F40" w14:textId="77777777" w:rsidR="0006191D" w:rsidRDefault="00000000">
      <w:pPr>
        <w:spacing w:line="300" w:lineRule="auto"/>
      </w:pPr>
      <w:r>
        <w:rPr>
          <w:noProof/>
        </w:rPr>
        <w:drawing>
          <wp:anchor distT="0" distB="0" distL="0" distR="0" simplePos="0" relativeHeight="251645440" behindDoc="0" locked="0" layoutInCell="1" allowOverlap="1" wp14:anchorId="09630A5B" wp14:editId="379108A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2:27</w:t>
      </w:r>
      <w:r>
        <w:rPr>
          <w:rFonts w:ascii="Segoe UI" w:eastAsia="Segoe UI" w:hAnsi="Segoe UI" w:cs="Segoe UI"/>
          <w:color w:val="323130"/>
          <w:sz w:val="24"/>
          <w:szCs w:val="24"/>
        </w:rPr>
        <w:br/>
        <w:t>to know a few things about few dimensions. So essentially, if the guideline sounded clear, sounded relevant, feasible, and applicable. And of course, if some of these are not, you know, met, if you have any revision.</w:t>
      </w:r>
      <w:r>
        <w:rPr>
          <w:rFonts w:ascii="Segoe UI" w:eastAsia="Segoe UI" w:hAnsi="Segoe UI" w:cs="Segoe UI"/>
          <w:color w:val="323130"/>
          <w:sz w:val="24"/>
          <w:szCs w:val="24"/>
        </w:rPr>
        <w:br/>
        <w:t>So I'm going to read to you again the guidelines so we can make sure that we use the same and latest formulation. And if you want to read it as well, I can copy it in the chat.</w:t>
      </w:r>
      <w:r>
        <w:rPr>
          <w:rFonts w:ascii="Segoe UI" w:eastAsia="Segoe UI" w:hAnsi="Segoe UI" w:cs="Segoe UI"/>
          <w:color w:val="323130"/>
          <w:sz w:val="24"/>
          <w:szCs w:val="24"/>
        </w:rPr>
        <w:br/>
        <w:t>So the first guideline is about defining the competence that the student must demonstrate. And if they demonstrate these competencies independently with support from Gen. AI or any other support, or for instance, the use of Gen. AI is allowed within certain boundaries and things like that.</w:t>
      </w:r>
    </w:p>
    <w:p w14:paraId="4105DFD0"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3:29</w:t>
      </w:r>
      <w:r>
        <w:rPr>
          <w:rFonts w:ascii="Segoe UI" w:eastAsia="Segoe UI" w:hAnsi="Segoe UI" w:cs="Segoe UI"/>
          <w:color w:val="323130"/>
          <w:sz w:val="24"/>
          <w:szCs w:val="24"/>
        </w:rPr>
        <w:br/>
        <w:t>Yeah, I think that's a that's a good guideline for.</w:t>
      </w:r>
      <w:r>
        <w:rPr>
          <w:rFonts w:ascii="Segoe UI" w:eastAsia="Segoe UI" w:hAnsi="Segoe UI" w:cs="Segoe UI"/>
          <w:color w:val="323130"/>
          <w:sz w:val="24"/>
          <w:szCs w:val="24"/>
        </w:rPr>
        <w:br/>
        <w:t>especially for defining, usually it's from the course syllabus, you have what the students need to present. So that can be extended, also can be defined for students, I guess, to</w:t>
      </w:r>
      <w:r>
        <w:rPr>
          <w:rFonts w:ascii="Segoe UI" w:eastAsia="Segoe UI" w:hAnsi="Segoe UI" w:cs="Segoe UI"/>
          <w:color w:val="323130"/>
          <w:sz w:val="24"/>
          <w:szCs w:val="24"/>
        </w:rPr>
        <w:br/>
        <w:t>to know that to what extent they can use.</w:t>
      </w:r>
    </w:p>
    <w:p w14:paraId="1968082E" w14:textId="77777777" w:rsidR="0006191D" w:rsidRDefault="00000000">
      <w:pPr>
        <w:spacing w:line="300" w:lineRule="auto"/>
      </w:pPr>
      <w:r>
        <w:rPr>
          <w:noProof/>
        </w:rPr>
        <w:drawing>
          <wp:anchor distT="0" distB="0" distL="0" distR="0" simplePos="0" relativeHeight="251647488" behindDoc="0" locked="0" layoutInCell="1" allowOverlap="1" wp14:anchorId="382F79DF" wp14:editId="106335E2">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4:02</w:t>
      </w:r>
      <w:r>
        <w:rPr>
          <w:rFonts w:ascii="Segoe UI" w:eastAsia="Segoe UI" w:hAnsi="Segoe UI" w:cs="Segoe UI"/>
          <w:color w:val="323130"/>
          <w:sz w:val="24"/>
          <w:szCs w:val="24"/>
        </w:rPr>
        <w:br/>
        <w:t>Yeah.</w:t>
      </w:r>
    </w:p>
    <w:p w14:paraId="470E897A" w14:textId="77777777" w:rsidR="0006191D" w:rsidRDefault="00000000">
      <w:pPr>
        <w:spacing w:line="300" w:lineRule="auto"/>
      </w:pPr>
      <w:r>
        <w:rPr>
          <w:rFonts w:ascii="Segoe UI" w:eastAsia="Segoe UI" w:hAnsi="Segoe UI" w:cs="Segoe UI"/>
          <w:b/>
          <w:bCs/>
          <w:color w:val="605E5C"/>
          <w:sz w:val="24"/>
          <w:szCs w:val="24"/>
        </w:rPr>
        <w:lastRenderedPageBreak/>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4:02</w:t>
      </w:r>
      <w:r>
        <w:rPr>
          <w:rFonts w:ascii="Segoe UI" w:eastAsia="Segoe UI" w:hAnsi="Segoe UI" w:cs="Segoe UI"/>
          <w:color w:val="323130"/>
          <w:sz w:val="24"/>
          <w:szCs w:val="24"/>
        </w:rPr>
        <w:br/>
        <w:t>The support, and, and...</w:t>
      </w:r>
      <w:r>
        <w:rPr>
          <w:rFonts w:ascii="Segoe UI" w:eastAsia="Segoe UI" w:hAnsi="Segoe UI" w:cs="Segoe UI"/>
          <w:color w:val="323130"/>
          <w:sz w:val="24"/>
          <w:szCs w:val="24"/>
        </w:rPr>
        <w:br/>
        <w:t>through the critical use. So I think it's a good formulation.</w:t>
      </w:r>
    </w:p>
    <w:p w14:paraId="13BCF313" w14:textId="77777777" w:rsidR="0006191D" w:rsidRDefault="00000000">
      <w:pPr>
        <w:spacing w:line="300" w:lineRule="auto"/>
      </w:pPr>
      <w:r>
        <w:rPr>
          <w:noProof/>
        </w:rPr>
        <w:drawing>
          <wp:anchor distT="0" distB="0" distL="0" distR="0" simplePos="0" relativeHeight="251649536" behindDoc="0" locked="0" layoutInCell="1" allowOverlap="1" wp14:anchorId="6531121C" wp14:editId="2690A91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4:12</w:t>
      </w:r>
      <w:r>
        <w:rPr>
          <w:rFonts w:ascii="Segoe UI" w:eastAsia="Segoe UI" w:hAnsi="Segoe UI" w:cs="Segoe UI"/>
          <w:color w:val="323130"/>
          <w:sz w:val="24"/>
          <w:szCs w:val="24"/>
        </w:rPr>
        <w:br/>
        <w:t>Yeah, so as you probably realize or you will see now, the guidelines are in a way that they are not sequential, but of course they treat, I would say, the overall use of Gen. AI in a</w:t>
      </w:r>
    </w:p>
    <w:p w14:paraId="52C5ED01"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4:26</w:t>
      </w:r>
      <w:r>
        <w:rPr>
          <w:rFonts w:ascii="Segoe UI" w:eastAsia="Segoe UI" w:hAnsi="Segoe UI" w:cs="Segoe UI"/>
          <w:color w:val="323130"/>
          <w:sz w:val="24"/>
          <w:szCs w:val="24"/>
        </w:rPr>
        <w:br/>
        <w:t>Mm.</w:t>
      </w:r>
    </w:p>
    <w:p w14:paraId="0E2215AF" w14:textId="77777777" w:rsidR="0006191D" w:rsidRDefault="00000000">
      <w:pPr>
        <w:spacing w:line="300" w:lineRule="auto"/>
      </w:pPr>
      <w:r>
        <w:rPr>
          <w:noProof/>
        </w:rPr>
        <w:drawing>
          <wp:anchor distT="0" distB="0" distL="0" distR="0" simplePos="0" relativeHeight="251651584" behindDoc="0" locked="0" layoutInCell="1" allowOverlap="1" wp14:anchorId="1DAF655E" wp14:editId="6CD0833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4:30</w:t>
      </w:r>
      <w:r>
        <w:rPr>
          <w:rFonts w:ascii="Segoe UI" w:eastAsia="Segoe UI" w:hAnsi="Segoe UI" w:cs="Segoe UI"/>
          <w:color w:val="323130"/>
          <w:sz w:val="24"/>
          <w:szCs w:val="24"/>
        </w:rPr>
        <w:br/>
        <w:t>in a way that they're building on each other. So the second guideline essentially states that we should...</w:t>
      </w:r>
      <w:r>
        <w:rPr>
          <w:rFonts w:ascii="Segoe UI" w:eastAsia="Segoe UI" w:hAnsi="Segoe UI" w:cs="Segoe UI"/>
          <w:color w:val="323130"/>
          <w:sz w:val="24"/>
          <w:szCs w:val="24"/>
        </w:rPr>
        <w:br/>
        <w:t>Mm.</w:t>
      </w:r>
      <w:r>
        <w:rPr>
          <w:rFonts w:ascii="Segoe UI" w:eastAsia="Segoe UI" w:hAnsi="Segoe UI" w:cs="Segoe UI"/>
          <w:color w:val="323130"/>
          <w:sz w:val="24"/>
          <w:szCs w:val="24"/>
        </w:rPr>
        <w:br/>
        <w:t>for each task of the examination. So for instance, it may be common that you have a different, yeah, different examination or a different task within an examination. We should state as educators how and if to use Jan AI.</w:t>
      </w:r>
    </w:p>
    <w:p w14:paraId="4CA697A4"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5:01</w:t>
      </w:r>
      <w:r>
        <w:rPr>
          <w:rFonts w:ascii="Segoe UI" w:eastAsia="Segoe UI" w:hAnsi="Segoe UI" w:cs="Segoe UI"/>
          <w:color w:val="323130"/>
          <w:sz w:val="24"/>
          <w:szCs w:val="24"/>
        </w:rPr>
        <w:br/>
        <w:t>No.</w:t>
      </w:r>
    </w:p>
    <w:p w14:paraId="2E1449D8" w14:textId="77777777" w:rsidR="0006191D" w:rsidRDefault="00000000">
      <w:pPr>
        <w:spacing w:line="300" w:lineRule="auto"/>
      </w:pPr>
      <w:r>
        <w:rPr>
          <w:noProof/>
        </w:rPr>
        <w:drawing>
          <wp:anchor distT="0" distB="0" distL="0" distR="0" simplePos="0" relativeHeight="251653632" behindDoc="0" locked="0" layoutInCell="1" allowOverlap="1" wp14:anchorId="633787EA" wp14:editId="4C61955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5:03</w:t>
      </w:r>
      <w:r>
        <w:rPr>
          <w:rFonts w:ascii="Segoe UI" w:eastAsia="Segoe UI" w:hAnsi="Segoe UI" w:cs="Segoe UI"/>
          <w:color w:val="323130"/>
          <w:sz w:val="24"/>
          <w:szCs w:val="24"/>
        </w:rPr>
        <w:br/>
        <w:t>And this is similar to the one, the guideline before, but this is more on the task.</w:t>
      </w:r>
    </w:p>
    <w:p w14:paraId="5B61A016"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5:12</w:t>
      </w:r>
      <w:r>
        <w:rPr>
          <w:rFonts w:ascii="Segoe UI" w:eastAsia="Segoe UI" w:hAnsi="Segoe UI" w:cs="Segoe UI"/>
          <w:color w:val="323130"/>
          <w:sz w:val="24"/>
          <w:szCs w:val="24"/>
        </w:rPr>
        <w:br/>
        <w:t>Yeah, I think this is also good because for some tasks, probably you want to prohibit it. For example, if there are oral presentations of something, like if you have in the lab some implementation and you want them to actually present the implementation,</w:t>
      </w:r>
      <w:r>
        <w:rPr>
          <w:rFonts w:ascii="Segoe UI" w:eastAsia="Segoe UI" w:hAnsi="Segoe UI" w:cs="Segoe UI"/>
          <w:color w:val="323130"/>
          <w:sz w:val="24"/>
          <w:szCs w:val="24"/>
        </w:rPr>
        <w:br/>
        <w:t>probably dare you want to define that it's either restricted or not permitted. So it's good to define for each task, but the one...</w:t>
      </w:r>
      <w:r>
        <w:rPr>
          <w:rFonts w:ascii="Segoe UI" w:eastAsia="Segoe UI" w:hAnsi="Segoe UI" w:cs="Segoe UI"/>
          <w:color w:val="323130"/>
          <w:sz w:val="24"/>
          <w:szCs w:val="24"/>
        </w:rPr>
        <w:br/>
        <w:t>Thing that came to my mind is that sometimes in our courses we are not very clear if like this task or this examination moment.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 the component can be done in various ways. So we did not really define it well. For example, we have assignment in a course, but in the assignment, we did not strictly define it as if it's a oral.</w:t>
      </w:r>
      <w:r>
        <w:rPr>
          <w:rFonts w:ascii="Segoe UI" w:eastAsia="Segoe UI" w:hAnsi="Segoe UI" w:cs="Segoe UI"/>
          <w:color w:val="323130"/>
          <w:sz w:val="24"/>
          <w:szCs w:val="24"/>
        </w:rPr>
        <w:br/>
        <w:t>after submitting the assignment, if there is an oral presentation of that or not. So this can be a little bit of a mismatch, but that's that requires a little bit of, I guess, when we are defining the course for students and information there, we need to probably.</w:t>
      </w:r>
    </w:p>
    <w:p w14:paraId="4B4743CF" w14:textId="77777777" w:rsidR="0006191D" w:rsidRDefault="00000000">
      <w:pPr>
        <w:spacing w:line="300" w:lineRule="auto"/>
      </w:pPr>
      <w:r>
        <w:rPr>
          <w:noProof/>
        </w:rPr>
        <w:drawing>
          <wp:anchor distT="0" distB="0" distL="0" distR="0" simplePos="0" relativeHeight="251655680" behindDoc="0" locked="0" layoutInCell="1" allowOverlap="1" wp14:anchorId="0D528D99" wp14:editId="56AB09C3">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6:23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indeed. They, of course, they imply some work also from our side as educators. So now with the upcoming guidelines from G3 to G5, we are moving towards, let's say, the way that we should assess and how we should assess the</w:t>
      </w:r>
    </w:p>
    <w:p w14:paraId="0801318C"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6:47</w:t>
      </w:r>
      <w:r>
        <w:rPr>
          <w:rFonts w:ascii="Segoe UI" w:eastAsia="Segoe UI" w:hAnsi="Segoe UI" w:cs="Segoe UI"/>
          <w:color w:val="323130"/>
          <w:sz w:val="24"/>
          <w:szCs w:val="24"/>
        </w:rPr>
        <w:br/>
        <w:t>Yes.</w:t>
      </w:r>
    </w:p>
    <w:p w14:paraId="30D67711" w14:textId="77777777" w:rsidR="0006191D" w:rsidRDefault="00000000">
      <w:pPr>
        <w:spacing w:line="300" w:lineRule="auto"/>
      </w:pPr>
      <w:r>
        <w:rPr>
          <w:noProof/>
        </w:rPr>
        <w:drawing>
          <wp:anchor distT="0" distB="0" distL="0" distR="0" simplePos="0" relativeHeight="251657728" behindDoc="0" locked="0" layoutInCell="1" allowOverlap="1" wp14:anchorId="09B08071" wp14:editId="533C1D2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7:01</w:t>
      </w:r>
      <w:r>
        <w:rPr>
          <w:rFonts w:ascii="Segoe UI" w:eastAsia="Segoe UI" w:hAnsi="Segoe UI" w:cs="Segoe UI"/>
          <w:color w:val="323130"/>
          <w:sz w:val="24"/>
          <w:szCs w:val="24"/>
        </w:rPr>
        <w:br/>
        <w:t>competencies. So essentially, the guidelines from G3 to G5 are again building on top of each other, stating that if we are in a situation where the product that is delivered by the student cannot be</w:t>
      </w:r>
      <w:r>
        <w:rPr>
          <w:rFonts w:ascii="Segoe UI" w:eastAsia="Segoe UI" w:hAnsi="Segoe UI" w:cs="Segoe UI"/>
          <w:color w:val="323130"/>
          <w:sz w:val="24"/>
          <w:szCs w:val="24"/>
        </w:rPr>
        <w:br/>
        <w:t>it is insufficient for us to make a judgment over the student acquiring or not the competencies, then we should require the small amount of process or reasoning evidence for us to clear the doubt. Or otherwise, if this is not</w:t>
      </w:r>
      <w:r>
        <w:rPr>
          <w:rFonts w:ascii="Segoe UI" w:eastAsia="Segoe UI" w:hAnsi="Segoe UI" w:cs="Segoe UI"/>
          <w:color w:val="323130"/>
          <w:sz w:val="24"/>
          <w:szCs w:val="24"/>
        </w:rPr>
        <w:br/>
        <w:t>again, enough, we should assess whether the student can explain, challenge or discuss on the output or on the task that I mean the product that he or she delivered. And the G5 says that if</w:t>
      </w:r>
      <w:r>
        <w:rPr>
          <w:rFonts w:ascii="Segoe UI" w:eastAsia="Segoe UI" w:hAnsi="Segoe UI" w:cs="Segoe UI"/>
          <w:color w:val="323130"/>
          <w:sz w:val="24"/>
          <w:szCs w:val="24"/>
        </w:rPr>
        <w:br/>
        <w:t>let's say the both previous guidelines, the application of the previous guidelines did not help, then we should use targeted measure like live oral presentation, supervised verification, or in that case to assess the</w:t>
      </w:r>
      <w:r>
        <w:rPr>
          <w:rFonts w:ascii="Segoe UI" w:eastAsia="Segoe UI" w:hAnsi="Segoe UI" w:cs="Segoe UI"/>
          <w:color w:val="323130"/>
          <w:sz w:val="24"/>
          <w:szCs w:val="24"/>
        </w:rPr>
        <w:br/>
        <w:t>Students' competencies.</w:t>
      </w:r>
    </w:p>
    <w:p w14:paraId="2EA28B49"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8:23</w:t>
      </w:r>
      <w:r>
        <w:rPr>
          <w:rFonts w:ascii="Segoe UI" w:eastAsia="Segoe UI" w:hAnsi="Segoe UI" w:cs="Segoe UI"/>
          <w:color w:val="323130"/>
          <w:sz w:val="24"/>
          <w:szCs w:val="24"/>
        </w:rPr>
        <w:br/>
        <w:t>Mhm.</w:t>
      </w:r>
      <w:r>
        <w:rPr>
          <w:rFonts w:ascii="Segoe UI" w:eastAsia="Segoe UI" w:hAnsi="Segoe UI" w:cs="Segoe UI"/>
          <w:color w:val="323130"/>
          <w:sz w:val="24"/>
          <w:szCs w:val="24"/>
        </w:rPr>
        <w:br/>
        <w:t>So these are the other three guidelines.</w:t>
      </w:r>
    </w:p>
    <w:p w14:paraId="2CC64DA2" w14:textId="77777777" w:rsidR="0006191D" w:rsidRDefault="00000000">
      <w:pPr>
        <w:spacing w:line="300" w:lineRule="auto"/>
      </w:pPr>
      <w:r>
        <w:rPr>
          <w:noProof/>
        </w:rPr>
        <w:lastRenderedPageBreak/>
        <w:drawing>
          <wp:anchor distT="0" distB="0" distL="0" distR="0" simplePos="0" relativeHeight="251659776" behindDoc="0" locked="0" layoutInCell="1" allowOverlap="1" wp14:anchorId="4D21D1A3" wp14:editId="1D4B2090">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8:28</w:t>
      </w:r>
      <w:r>
        <w:rPr>
          <w:rFonts w:ascii="Segoe UI" w:eastAsia="Segoe UI" w:hAnsi="Segoe UI" w:cs="Segoe UI"/>
          <w:color w:val="323130"/>
          <w:sz w:val="24"/>
          <w:szCs w:val="24"/>
        </w:rPr>
        <w:br/>
        <w:t>Yes, exactly.</w:t>
      </w:r>
    </w:p>
    <w:p w14:paraId="4E9CF8B9"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8:45</w:t>
      </w:r>
      <w:r>
        <w:rPr>
          <w:rFonts w:ascii="Segoe UI" w:eastAsia="Segoe UI" w:hAnsi="Segoe UI" w:cs="Segoe UI"/>
          <w:color w:val="323130"/>
          <w:sz w:val="24"/>
          <w:szCs w:val="24"/>
        </w:rPr>
        <w:br/>
        <w:t>So I don't have much on the guideline 3, but I'm thinking about guideline 4, which is about when they actually use generated AI. And then</w:t>
      </w:r>
    </w:p>
    <w:p w14:paraId="76FEA5DF" w14:textId="77777777" w:rsidR="0006191D" w:rsidRDefault="00000000">
      <w:pPr>
        <w:spacing w:line="300" w:lineRule="auto"/>
      </w:pPr>
      <w:r>
        <w:rPr>
          <w:noProof/>
        </w:rPr>
        <w:drawing>
          <wp:anchor distT="0" distB="0" distL="0" distR="0" simplePos="0" relativeHeight="251661824" behindDoc="0" locked="0" layoutInCell="1" allowOverlap="1" wp14:anchorId="029E0918" wp14:editId="662CE55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8:57</w:t>
      </w:r>
      <w:r>
        <w:rPr>
          <w:rFonts w:ascii="Segoe UI" w:eastAsia="Segoe UI" w:hAnsi="Segoe UI" w:cs="Segoe UI"/>
          <w:color w:val="323130"/>
          <w:sz w:val="24"/>
          <w:szCs w:val="24"/>
        </w:rPr>
        <w:br/>
        <w:t>Yeah.</w:t>
      </w:r>
    </w:p>
    <w:p w14:paraId="222E65F5"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9:04</w:t>
      </w:r>
      <w:r>
        <w:rPr>
          <w:rFonts w:ascii="Segoe UI" w:eastAsia="Segoe UI" w:hAnsi="Segoe UI" w:cs="Segoe UI"/>
          <w:color w:val="323130"/>
          <w:sz w:val="24"/>
          <w:szCs w:val="24"/>
        </w:rPr>
        <w:br/>
        <w:t>And so.</w:t>
      </w:r>
      <w:r>
        <w:rPr>
          <w:rFonts w:ascii="Segoe UI" w:eastAsia="Segoe UI" w:hAnsi="Segoe UI" w:cs="Segoe UI"/>
          <w:color w:val="323130"/>
          <w:sz w:val="24"/>
          <w:szCs w:val="24"/>
        </w:rPr>
        <w:br/>
        <w:t>And maybe the formulation is a bit difficult to.</w:t>
      </w:r>
      <w:r>
        <w:rPr>
          <w:rFonts w:ascii="Segoe UI" w:eastAsia="Segoe UI" w:hAnsi="Segoe UI" w:cs="Segoe UI"/>
          <w:color w:val="323130"/>
          <w:sz w:val="24"/>
          <w:szCs w:val="24"/>
        </w:rPr>
        <w:br/>
        <w:t>Understand or to apply.</w:t>
      </w:r>
      <w:r>
        <w:rPr>
          <w:rFonts w:ascii="Segoe UI" w:eastAsia="Segoe UI" w:hAnsi="Segoe UI" w:cs="Segoe UI"/>
          <w:color w:val="323130"/>
          <w:sz w:val="24"/>
          <w:szCs w:val="24"/>
        </w:rPr>
        <w:br/>
        <w:t>assess whether students can test, explain, challenge, and improve its output. So is this like an extra assessment that one should do as part of examination or?</w:t>
      </w:r>
    </w:p>
    <w:p w14:paraId="690A2AEA" w14:textId="77777777" w:rsidR="0006191D" w:rsidRDefault="00000000">
      <w:pPr>
        <w:spacing w:line="300" w:lineRule="auto"/>
      </w:pPr>
      <w:r>
        <w:rPr>
          <w:noProof/>
        </w:rPr>
        <w:drawing>
          <wp:anchor distT="0" distB="0" distL="0" distR="0" simplePos="0" relativeHeight="251663872" behindDoc="0" locked="0" layoutInCell="1" allowOverlap="1" wp14:anchorId="7333A8AD" wp14:editId="63662652">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9:23</w:t>
      </w:r>
      <w:r>
        <w:rPr>
          <w:rFonts w:ascii="Segoe UI" w:eastAsia="Segoe UI" w:hAnsi="Segoe UI" w:cs="Segoe UI"/>
          <w:color w:val="323130"/>
          <w:sz w:val="24"/>
          <w:szCs w:val="24"/>
        </w:rPr>
        <w:br/>
        <w:t>So.</w:t>
      </w:r>
      <w:r>
        <w:rPr>
          <w:rFonts w:ascii="Segoe UI" w:eastAsia="Segoe UI" w:hAnsi="Segoe UI" w:cs="Segoe UI"/>
          <w:color w:val="323130"/>
          <w:sz w:val="24"/>
          <w:szCs w:val="24"/>
        </w:rPr>
        <w:br/>
        <w:t>Well, so let's say, how can I answer without bias? So the, yeah, the guidelines #4 simply, let's say, suggests that if we are in front of a task, let's say the labs,</w:t>
      </w:r>
    </w:p>
    <w:p w14:paraId="461D34B7"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9:54</w:t>
      </w:r>
      <w:r>
        <w:rPr>
          <w:rFonts w:ascii="Segoe UI" w:eastAsia="Segoe UI" w:hAnsi="Segoe UI" w:cs="Segoe UI"/>
          <w:color w:val="323130"/>
          <w:sz w:val="24"/>
          <w:szCs w:val="24"/>
        </w:rPr>
        <w:br/>
        <w:t>Ohh.</w:t>
      </w:r>
    </w:p>
    <w:p w14:paraId="697C24EC" w14:textId="77777777" w:rsidR="0006191D" w:rsidRDefault="00000000">
      <w:pPr>
        <w:spacing w:line="300" w:lineRule="auto"/>
      </w:pPr>
      <w:r>
        <w:rPr>
          <w:noProof/>
        </w:rPr>
        <w:drawing>
          <wp:anchor distT="0" distB="0" distL="0" distR="0" simplePos="0" relativeHeight="251665920" behindDoc="0" locked="0" layoutInCell="1" allowOverlap="1" wp14:anchorId="7A71E61D" wp14:editId="7E95ED41">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10:00</w:t>
      </w:r>
      <w:r>
        <w:rPr>
          <w:rFonts w:ascii="Segoe UI" w:eastAsia="Segoe UI" w:hAnsi="Segoe UI" w:cs="Segoe UI"/>
          <w:color w:val="323130"/>
          <w:sz w:val="24"/>
          <w:szCs w:val="24"/>
        </w:rPr>
        <w:br/>
        <w:t>programming labs that where Gen. AI or similar tool can heavily influence the work that the student is submitting. Then we should assess if the student can, yeah, test, explain, challenge or improve the output.</w:t>
      </w:r>
      <w:r>
        <w:rPr>
          <w:rFonts w:ascii="Segoe UI" w:eastAsia="Segoe UI" w:hAnsi="Segoe UI" w:cs="Segoe UI"/>
          <w:color w:val="323130"/>
          <w:sz w:val="24"/>
          <w:szCs w:val="24"/>
        </w:rPr>
        <w:br/>
        <w:t>that is produced by, I mean, that is the product that is delivered by the student, which is, which may be produced by Jan AI. So this is the explanation, but I mean, I'm also curious, because we said that maybe it's a bit unclear, which is fine. So like, maybe you can suggest which part where</w:t>
      </w:r>
      <w:r>
        <w:rPr>
          <w:rFonts w:ascii="Segoe UI" w:eastAsia="Segoe UI" w:hAnsi="Segoe UI" w:cs="Segoe UI"/>
          <w:color w:val="323130"/>
          <w:sz w:val="24"/>
          <w:szCs w:val="24"/>
        </w:rPr>
        <w:br/>
        <w:t>unclear and possible reformulation.</w:t>
      </w:r>
    </w:p>
    <w:p w14:paraId="5AA166C5" w14:textId="77777777" w:rsidR="0006191D" w:rsidRDefault="00000000">
      <w:pPr>
        <w:spacing w:line="300" w:lineRule="auto"/>
      </w:pPr>
      <w:r>
        <w:rPr>
          <w:rFonts w:ascii="Segoe UI" w:eastAsia="Segoe UI" w:hAnsi="Segoe UI" w:cs="Segoe UI"/>
          <w:b/>
          <w:bCs/>
          <w:color w:val="605E5C"/>
          <w:sz w:val="24"/>
          <w:szCs w:val="24"/>
        </w:rPr>
        <w:lastRenderedPageBreak/>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10:48</w:t>
      </w:r>
      <w:r>
        <w:rPr>
          <w:rFonts w:ascii="Segoe UI" w:eastAsia="Segoe UI" w:hAnsi="Segoe UI" w:cs="Segoe UI"/>
          <w:color w:val="323130"/>
          <w:sz w:val="24"/>
          <w:szCs w:val="24"/>
        </w:rPr>
        <w:br/>
        <w:t>So I guess the part that's a test explain is fine, but the part is about improve its output. It feels it gives this impression that they have another chance, like to do the examination or to do the assignment again or something like that.</w:t>
      </w:r>
    </w:p>
    <w:p w14:paraId="7CF08920" w14:textId="77777777" w:rsidR="0006191D" w:rsidRDefault="00000000">
      <w:pPr>
        <w:spacing w:line="300" w:lineRule="auto"/>
      </w:pPr>
      <w:r>
        <w:rPr>
          <w:noProof/>
        </w:rPr>
        <w:drawing>
          <wp:anchor distT="0" distB="0" distL="0" distR="0" simplePos="0" relativeHeight="251667968" behindDoc="0" locked="0" layoutInCell="1" allowOverlap="1" wp14:anchorId="141786CE" wp14:editId="0849402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11:10</w:t>
      </w:r>
      <w:r>
        <w:rPr>
          <w:rFonts w:ascii="Segoe UI" w:eastAsia="Segoe UI" w:hAnsi="Segoe UI" w:cs="Segoe UI"/>
          <w:color w:val="323130"/>
          <w:sz w:val="24"/>
          <w:szCs w:val="24"/>
        </w:rPr>
        <w:br/>
        <w:t>Okay, yeah, I see your point.</w:t>
      </w:r>
    </w:p>
    <w:p w14:paraId="32C9909B"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11:13</w:t>
      </w:r>
      <w:r>
        <w:rPr>
          <w:rFonts w:ascii="Segoe UI" w:eastAsia="Segoe UI" w:hAnsi="Segoe UI" w:cs="Segoe UI"/>
          <w:color w:val="323130"/>
          <w:sz w:val="24"/>
          <w:szCs w:val="24"/>
        </w:rPr>
        <w:br/>
        <w:t>So only maybe the.</w:t>
      </w:r>
      <w:r>
        <w:rPr>
          <w:rFonts w:ascii="Segoe UI" w:eastAsia="Segoe UI" w:hAnsi="Segoe UI" w:cs="Segoe UI"/>
          <w:color w:val="323130"/>
          <w:sz w:val="24"/>
          <w:szCs w:val="24"/>
        </w:rPr>
        <w:br/>
        <w:t>Test, explain, challenge makes sense, but the improve to me feels like, okay, you misleading. So we go back and do the same, do it again. While in some of the examination components, we don't have this do it again.</w:t>
      </w:r>
    </w:p>
    <w:p w14:paraId="79BD4712" w14:textId="77777777" w:rsidR="0006191D" w:rsidRDefault="00000000">
      <w:pPr>
        <w:spacing w:line="300" w:lineRule="auto"/>
      </w:pPr>
      <w:r>
        <w:rPr>
          <w:noProof/>
        </w:rPr>
        <w:drawing>
          <wp:anchor distT="0" distB="0" distL="0" distR="0" simplePos="0" relativeHeight="251670016" behindDoc="0" locked="0" layoutInCell="1" allowOverlap="1" wp14:anchorId="6CAA7520" wp14:editId="7D2E5EE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11:17</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Misleading, yes.</w:t>
      </w:r>
      <w:r>
        <w:rPr>
          <w:rFonts w:ascii="Segoe UI" w:eastAsia="Segoe UI" w:hAnsi="Segoe UI" w:cs="Segoe UI"/>
          <w:color w:val="323130"/>
          <w:sz w:val="24"/>
          <w:szCs w:val="24"/>
        </w:rPr>
        <w:br/>
        <w:t>Yeah.</w:t>
      </w:r>
      <w:r>
        <w:rPr>
          <w:rFonts w:ascii="Segoe UI" w:eastAsia="Segoe UI" w:hAnsi="Segoe UI" w:cs="Segoe UI"/>
          <w:color w:val="323130"/>
          <w:sz w:val="24"/>
          <w:szCs w:val="24"/>
        </w:rPr>
        <w:br/>
        <w:t>No, exactly, yeah, you're right.</w:t>
      </w:r>
      <w:r>
        <w:rPr>
          <w:rFonts w:ascii="Segoe UI" w:eastAsia="Segoe UI" w:hAnsi="Segoe UI" w:cs="Segoe UI"/>
          <w:color w:val="323130"/>
          <w:sz w:val="24"/>
          <w:szCs w:val="24"/>
        </w:rPr>
        <w:br/>
        <w:t>Great, thank you so much for the suggestion. And so we are approaching finally guideline number six and guideline #7, and which I'm again copying in the chat for you to read them. And</w:t>
      </w:r>
      <w:r>
        <w:rPr>
          <w:rFonts w:ascii="Segoe UI" w:eastAsia="Segoe UI" w:hAnsi="Segoe UI" w:cs="Segoe UI"/>
          <w:color w:val="323130"/>
          <w:sz w:val="24"/>
          <w:szCs w:val="24"/>
        </w:rPr>
        <w:br/>
        <w:t>So this is a number number six state that.</w:t>
      </w:r>
      <w:r>
        <w:rPr>
          <w:rFonts w:ascii="Segoe UI" w:eastAsia="Segoe UI" w:hAnsi="Segoe UI" w:cs="Segoe UI"/>
          <w:color w:val="323130"/>
          <w:sz w:val="24"/>
          <w:szCs w:val="24"/>
        </w:rPr>
        <w:br/>
        <w:t>Essentially, we should tailor the rules that we will use in our examination, along with which sort of evidence we require, which assessment we want to have, and so on.</w:t>
      </w:r>
      <w:r>
        <w:rPr>
          <w:rFonts w:ascii="Segoe UI" w:eastAsia="Segoe UI" w:hAnsi="Segoe UI" w:cs="Segoe UI"/>
          <w:color w:val="323130"/>
          <w:sz w:val="24"/>
          <w:szCs w:val="24"/>
        </w:rPr>
        <w:br/>
        <w:t>from, and also distinguish from, let's say, the preparation for a task and assess performance. So the idea here is that, let's say, if you have, yeah, let's say I've written examination,</w:t>
      </w:r>
      <w:r>
        <w:rPr>
          <w:rFonts w:ascii="Segoe UI" w:eastAsia="Segoe UI" w:hAnsi="Segoe UI" w:cs="Segoe UI"/>
          <w:color w:val="323130"/>
          <w:sz w:val="24"/>
          <w:szCs w:val="24"/>
        </w:rPr>
        <w:br/>
        <w:t>then clearly you cannot use Gen. AI for the written examination itself, but it may be allowed or even encouraged to use Gen. AI to prepare for the written examination. So as a study assistant, let's say.</w:t>
      </w:r>
    </w:p>
    <w:p w14:paraId="6D5C89A7"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13:07</w:t>
      </w:r>
      <w:r>
        <w:rPr>
          <w:rFonts w:ascii="Segoe UI" w:eastAsia="Segoe UI" w:hAnsi="Segoe UI" w:cs="Segoe UI"/>
          <w:color w:val="323130"/>
          <w:sz w:val="24"/>
          <w:szCs w:val="24"/>
        </w:rPr>
        <w:br/>
        <w:t>Yeah, yeah, makes sense.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Yeah, looks good. I don't have comment on that.</w:t>
      </w:r>
    </w:p>
    <w:p w14:paraId="1219BF23" w14:textId="77777777" w:rsidR="0006191D" w:rsidRDefault="00000000">
      <w:pPr>
        <w:spacing w:line="300" w:lineRule="auto"/>
      </w:pPr>
      <w:r>
        <w:rPr>
          <w:noProof/>
        </w:rPr>
        <w:drawing>
          <wp:anchor distT="0" distB="0" distL="0" distR="0" simplePos="0" relativeHeight="251672064" behindDoc="0" locked="0" layoutInCell="1" allowOverlap="1" wp14:anchorId="6BB1FCA2" wp14:editId="76FC664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13:12</w:t>
      </w:r>
      <w:r>
        <w:rPr>
          <w:rFonts w:ascii="Segoe UI" w:eastAsia="Segoe UI" w:hAnsi="Segoe UI" w:cs="Segoe UI"/>
          <w:color w:val="323130"/>
          <w:sz w:val="24"/>
          <w:szCs w:val="24"/>
        </w:rPr>
        <w:br/>
        <w:t>Okay.</w:t>
      </w:r>
      <w:r>
        <w:rPr>
          <w:rFonts w:ascii="Segoe UI" w:eastAsia="Segoe UI" w:hAnsi="Segoe UI" w:cs="Segoe UI"/>
          <w:color w:val="323130"/>
          <w:sz w:val="24"/>
          <w:szCs w:val="24"/>
        </w:rPr>
        <w:br/>
        <w:t>Yes, and G7 and the last is more on, let's say, on the our pedagogical role, rather than, you know, which states ensure that we, as educators, we should, you know, be responsible for teaching.</w:t>
      </w:r>
      <w:r>
        <w:rPr>
          <w:rFonts w:ascii="Segoe UI" w:eastAsia="Segoe UI" w:hAnsi="Segoe UI" w:cs="Segoe UI"/>
          <w:color w:val="323130"/>
          <w:sz w:val="24"/>
          <w:szCs w:val="24"/>
        </w:rPr>
        <w:br/>
        <w:t>how to use Jan AI in a responsible and transparent way, while of course retaining the fundamental or foundational competencies that the student must have to pass our courses.</w:t>
      </w:r>
    </w:p>
    <w:p w14:paraId="00C651C0"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13:56</w:t>
      </w:r>
      <w:r>
        <w:rPr>
          <w:rFonts w:ascii="Segoe UI" w:eastAsia="Segoe UI" w:hAnsi="Segoe UI" w:cs="Segoe UI"/>
          <w:color w:val="323130"/>
          <w:sz w:val="24"/>
          <w:szCs w:val="24"/>
        </w:rPr>
        <w:br/>
        <w:t>Yeah.</w:t>
      </w:r>
      <w:r>
        <w:rPr>
          <w:rFonts w:ascii="Segoe UI" w:eastAsia="Segoe UI" w:hAnsi="Segoe UI" w:cs="Segoe UI"/>
          <w:color w:val="323130"/>
          <w:sz w:val="24"/>
          <w:szCs w:val="24"/>
        </w:rPr>
        <w:br/>
        <w:t>You, sir.</w:t>
      </w:r>
      <w:r>
        <w:rPr>
          <w:rFonts w:ascii="Segoe UI" w:eastAsia="Segoe UI" w:hAnsi="Segoe UI" w:cs="Segoe UI"/>
          <w:color w:val="323130"/>
          <w:sz w:val="24"/>
          <w:szCs w:val="24"/>
        </w:rPr>
        <w:br/>
        <w:t>Yeah, yeah, makes sense.</w:t>
      </w:r>
    </w:p>
    <w:p w14:paraId="533AD06C" w14:textId="77777777" w:rsidR="0006191D" w:rsidRDefault="00000000">
      <w:pPr>
        <w:spacing w:line="300" w:lineRule="auto"/>
      </w:pPr>
      <w:r>
        <w:rPr>
          <w:noProof/>
        </w:rPr>
        <w:drawing>
          <wp:anchor distT="0" distB="0" distL="0" distR="0" simplePos="0" relativeHeight="251674112" behindDoc="0" locked="0" layoutInCell="1" allowOverlap="1" wp14:anchorId="32417AA3" wp14:editId="4BEC132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14:11</w:t>
      </w:r>
      <w:r>
        <w:rPr>
          <w:rFonts w:ascii="Segoe UI" w:eastAsia="Segoe UI" w:hAnsi="Segoe UI" w:cs="Segoe UI"/>
          <w:color w:val="323130"/>
          <w:sz w:val="24"/>
          <w:szCs w:val="24"/>
        </w:rPr>
        <w:br/>
        <w:t>OK, so we are moving towards the closing of the interview, and so...</w:t>
      </w:r>
      <w:r>
        <w:rPr>
          <w:rFonts w:ascii="Segoe UI" w:eastAsia="Segoe UI" w:hAnsi="Segoe UI" w:cs="Segoe UI"/>
          <w:color w:val="323130"/>
          <w:sz w:val="24"/>
          <w:szCs w:val="24"/>
        </w:rPr>
        <w:br/>
        <w:t>Just again, few questions related to the set as a whole. Now that you saw again the guidelines together with me, do you have any, you know, feeling on which, perhaps which guideline is the most important and why?</w:t>
      </w:r>
      <w:r>
        <w:rPr>
          <w:rFonts w:ascii="Segoe UI" w:eastAsia="Segoe UI" w:hAnsi="Segoe UI" w:cs="Segoe UI"/>
          <w:color w:val="323130"/>
          <w:sz w:val="24"/>
          <w:szCs w:val="24"/>
        </w:rPr>
        <w:br/>
        <w:t>If, on the other hand, if there are, if there is one or more guideline that is less relevant in your opinion, if you see any, you know, conflicting relationship between the guidelines or things like that.</w:t>
      </w:r>
    </w:p>
    <w:p w14:paraId="125A9661"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14:57</w:t>
      </w:r>
      <w:r>
        <w:rPr>
          <w:rFonts w:ascii="Segoe UI" w:eastAsia="Segoe UI" w:hAnsi="Segoe UI" w:cs="Segoe UI"/>
          <w:color w:val="323130"/>
          <w:sz w:val="24"/>
          <w:szCs w:val="24"/>
        </w:rPr>
        <w:br/>
        <w:t>Ohh.</w:t>
      </w:r>
      <w:r>
        <w:rPr>
          <w:rFonts w:ascii="Segoe UI" w:eastAsia="Segoe UI" w:hAnsi="Segoe UI" w:cs="Segoe UI"/>
          <w:color w:val="323130"/>
          <w:sz w:val="24"/>
          <w:szCs w:val="24"/>
        </w:rPr>
        <w:br/>
        <w:t>I think the first two are quite essential to define to the scope if they are allowed or not. That this is something we don't have it right now in the courses. So we don't actually define clearly if it's allowed or not.</w:t>
      </w:r>
      <w:r>
        <w:rPr>
          <w:rFonts w:ascii="Segoe UI" w:eastAsia="Segoe UI" w:hAnsi="Segoe UI" w:cs="Segoe UI"/>
          <w:color w:val="323130"/>
          <w:sz w:val="24"/>
          <w:szCs w:val="24"/>
        </w:rPr>
        <w:br/>
        <w:t>and to what extent. So I think these are the important parts to start with. And I feel the rest are more for examination and assessment rather than like to define for students the scope and so on. So I think it covers all aspects. And the last one is more on the training.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pedagogical aspects. But the first two are important to probably to use in our courses. That's what I feel. Like to clearly say the boundaries.</w:t>
      </w:r>
    </w:p>
    <w:p w14:paraId="3847CFB2" w14:textId="77777777" w:rsidR="0006191D" w:rsidRDefault="00000000">
      <w:pPr>
        <w:spacing w:line="300" w:lineRule="auto"/>
      </w:pPr>
      <w:r>
        <w:rPr>
          <w:noProof/>
        </w:rPr>
        <w:drawing>
          <wp:anchor distT="0" distB="0" distL="0" distR="0" simplePos="0" relativeHeight="251676160" behindDoc="0" locked="0" layoutInCell="1" allowOverlap="1" wp14:anchorId="3EBF68C8" wp14:editId="3AA7678E">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15:55</w:t>
      </w:r>
      <w:r>
        <w:rPr>
          <w:rFonts w:ascii="Segoe UI" w:eastAsia="Segoe UI" w:hAnsi="Segoe UI" w:cs="Segoe UI"/>
          <w:color w:val="323130"/>
          <w:sz w:val="24"/>
          <w:szCs w:val="24"/>
        </w:rPr>
        <w:br/>
        <w:t>Okay.</w:t>
      </w:r>
    </w:p>
    <w:p w14:paraId="35F7ABF1"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15:59</w:t>
      </w:r>
      <w:r>
        <w:rPr>
          <w:rFonts w:ascii="Segoe UI" w:eastAsia="Segoe UI" w:hAnsi="Segoe UI" w:cs="Segoe UI"/>
          <w:color w:val="323130"/>
          <w:sz w:val="24"/>
          <w:szCs w:val="24"/>
        </w:rPr>
        <w:br/>
        <w:t>We started a little bit in the master thesis, so in the information that we give to the students, we define or we tell them that it's allowed to use.</w:t>
      </w:r>
      <w:r>
        <w:rPr>
          <w:rFonts w:ascii="Segoe UI" w:eastAsia="Segoe UI" w:hAnsi="Segoe UI" w:cs="Segoe UI"/>
          <w:color w:val="323130"/>
          <w:sz w:val="24"/>
          <w:szCs w:val="24"/>
        </w:rPr>
        <w:br/>
        <w:t>But we also give them some, we give them some.</w:t>
      </w:r>
      <w:r>
        <w:rPr>
          <w:rFonts w:ascii="Segoe UI" w:eastAsia="Segoe UI" w:hAnsi="Segoe UI" w:cs="Segoe UI"/>
          <w:color w:val="323130"/>
          <w:sz w:val="24"/>
          <w:szCs w:val="24"/>
        </w:rPr>
        <w:br/>
        <w:t>Not the rules, but some.</w:t>
      </w:r>
      <w:r>
        <w:rPr>
          <w:rFonts w:ascii="Segoe UI" w:eastAsia="Segoe UI" w:hAnsi="Segoe UI" w:cs="Segoe UI"/>
          <w:color w:val="323130"/>
          <w:sz w:val="24"/>
          <w:szCs w:val="24"/>
        </w:rPr>
        <w:br/>
        <w:t>Hints, like, for example, if you use that, these are the consequences and how to use that and things like that.</w:t>
      </w:r>
    </w:p>
    <w:p w14:paraId="798C12F1" w14:textId="77777777" w:rsidR="0006191D" w:rsidRDefault="00000000">
      <w:pPr>
        <w:spacing w:line="300" w:lineRule="auto"/>
      </w:pPr>
      <w:r>
        <w:rPr>
          <w:noProof/>
        </w:rPr>
        <w:drawing>
          <wp:anchor distT="0" distB="0" distL="0" distR="0" simplePos="0" relativeHeight="251678208" behindDoc="0" locked="0" layoutInCell="1" allowOverlap="1" wp14:anchorId="50268D22" wp14:editId="433C88C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16:29</w:t>
      </w:r>
      <w:r>
        <w:rPr>
          <w:rFonts w:ascii="Segoe UI" w:eastAsia="Segoe UI" w:hAnsi="Segoe UI" w:cs="Segoe UI"/>
          <w:color w:val="323130"/>
          <w:sz w:val="24"/>
          <w:szCs w:val="24"/>
        </w:rPr>
        <w:br/>
        <w:t>Okay, yes, yeah.</w:t>
      </w:r>
      <w:r>
        <w:rPr>
          <w:rFonts w:ascii="Segoe UI" w:eastAsia="Segoe UI" w:hAnsi="Segoe UI" w:cs="Segoe UI"/>
          <w:color w:val="323130"/>
          <w:sz w:val="24"/>
          <w:szCs w:val="24"/>
        </w:rPr>
        <w:br/>
        <w:t>Great. So closing, I just want to ask again if, you know, I ask you many questions, but perhaps I didn't give you the opportunity to talk about something that you wanted to talk in relation to this topic. If there is, you know, anything that I didn't mention or didn't ask, so I would be glad to hear your</w:t>
      </w:r>
    </w:p>
    <w:p w14:paraId="0DBF91F4"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16:40</w:t>
      </w:r>
      <w:r>
        <w:rPr>
          <w:rFonts w:ascii="Segoe UI" w:eastAsia="Segoe UI" w:hAnsi="Segoe UI" w:cs="Segoe UI"/>
          <w:color w:val="323130"/>
          <w:sz w:val="24"/>
          <w:szCs w:val="24"/>
        </w:rPr>
        <w:br/>
        <w:t>Yeah.</w:t>
      </w:r>
    </w:p>
    <w:p w14:paraId="094EEE6C" w14:textId="77777777" w:rsidR="0006191D" w:rsidRDefault="00000000">
      <w:pPr>
        <w:spacing w:line="300" w:lineRule="auto"/>
      </w:pPr>
      <w:r>
        <w:rPr>
          <w:noProof/>
        </w:rPr>
        <w:drawing>
          <wp:anchor distT="0" distB="0" distL="0" distR="0" simplePos="0" relativeHeight="251680256" behindDoc="0" locked="0" layoutInCell="1" allowOverlap="1" wp14:anchorId="2A32C62D" wp14:editId="0457299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16:56</w:t>
      </w:r>
      <w:r>
        <w:rPr>
          <w:rFonts w:ascii="Segoe UI" w:eastAsia="Segoe UI" w:hAnsi="Segoe UI" w:cs="Segoe UI"/>
          <w:color w:val="323130"/>
          <w:sz w:val="24"/>
          <w:szCs w:val="24"/>
        </w:rPr>
        <w:br/>
        <w:t>your opinion.</w:t>
      </w:r>
    </w:p>
    <w:p w14:paraId="341D623A" w14:textId="77777777" w:rsidR="0006191D" w:rsidRDefault="00000000">
      <w:pPr>
        <w:spacing w:line="300" w:lineRule="auto"/>
      </w:pPr>
      <w:r>
        <w:rPr>
          <w:rFonts w:ascii="Segoe UI" w:eastAsia="Segoe UI" w:hAnsi="Segoe UI" w:cs="Segoe UI"/>
          <w:b/>
          <w:bCs/>
          <w:color w:val="605E5C"/>
          <w:sz w:val="24"/>
          <w:szCs w:val="24"/>
        </w:rPr>
        <w:br/>
      </w:r>
      <w:r w:rsidR="00376C8C">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16:58</w:t>
      </w:r>
      <w:r>
        <w:rPr>
          <w:rFonts w:ascii="Segoe UI" w:eastAsia="Segoe UI" w:hAnsi="Segoe UI" w:cs="Segoe UI"/>
          <w:color w:val="323130"/>
          <w:sz w:val="24"/>
          <w:szCs w:val="24"/>
        </w:rPr>
        <w:br/>
        <w:t>No, I think it's the final thing that I have to say is that it's, I think, very relevant to, in fact, we have actually a problem in the course, which is about algorithms and data structure, where the lab is implementing</w:t>
      </w:r>
      <w:r>
        <w:rPr>
          <w:rFonts w:ascii="Segoe UI" w:eastAsia="Segoe UI" w:hAnsi="Segoe UI" w:cs="Segoe UI"/>
          <w:color w:val="323130"/>
          <w:sz w:val="24"/>
          <w:szCs w:val="24"/>
        </w:rPr>
        <w:br/>
        <w:t>quite preliminary or quite simple algorithms for search or inserting link lists and stuff like that. And now things change. So we have actually a little bit of problem there because everyone can actually implement it very well. So we are dealing with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way to assess. So I think this would be very beneficial for such courses.</w:t>
      </w:r>
      <w:r>
        <w:rPr>
          <w:rFonts w:ascii="Segoe UI" w:eastAsia="Segoe UI" w:hAnsi="Segoe UI" w:cs="Segoe UI"/>
          <w:color w:val="323130"/>
          <w:sz w:val="24"/>
          <w:szCs w:val="24"/>
        </w:rPr>
        <w:br/>
        <w:t>Yeah.</w:t>
      </w:r>
    </w:p>
    <w:p w14:paraId="664E1F5D" w14:textId="77777777" w:rsidR="0006191D" w:rsidRDefault="00000000">
      <w:pPr>
        <w:spacing w:line="300" w:lineRule="auto"/>
      </w:pPr>
      <w:r>
        <w:rPr>
          <w:noProof/>
        </w:rPr>
        <w:drawing>
          <wp:anchor distT="0" distB="0" distL="0" distR="0" simplePos="0" relativeHeight="251682304" behindDoc="0" locked="0" layoutInCell="1" allowOverlap="1" wp14:anchorId="5338F123" wp14:editId="4A87A04F">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17:46</w:t>
      </w:r>
      <w:r>
        <w:rPr>
          <w:rFonts w:ascii="Segoe UI" w:eastAsia="Segoe UI" w:hAnsi="Segoe UI" w:cs="Segoe UI"/>
          <w:color w:val="323130"/>
          <w:sz w:val="24"/>
          <w:szCs w:val="24"/>
        </w:rPr>
        <w:br/>
        <w:t>But then, thank you so much, and I'm gonna stop the transcript.</w:t>
      </w:r>
    </w:p>
    <w:p w14:paraId="5E1619E3" w14:textId="77777777" w:rsidR="0006191D" w:rsidRDefault="0006191D">
      <w:pPr>
        <w:spacing w:line="300" w:lineRule="auto"/>
      </w:pPr>
    </w:p>
    <w:p w14:paraId="10EBF0E9" w14:textId="77777777" w:rsidR="00A849B5" w:rsidRDefault="00A849B5">
      <w:pPr>
        <w:sectPr w:rsidR="00A849B5">
          <w:pgSz w:w="11906" w:h="16838"/>
          <w:pgMar w:top="1440" w:right="1440" w:bottom="1440" w:left="1440" w:header="708" w:footer="708" w:gutter="0"/>
          <w:cols w:space="720"/>
          <w:docGrid w:linePitch="360"/>
        </w:sectPr>
      </w:pPr>
    </w:p>
    <w:p w14:paraId="489DE5A3" w14:textId="636DE8F7" w:rsidR="00A849B5" w:rsidRDefault="00000000" w:rsidP="002205F6">
      <w:pPr>
        <w:pStyle w:val="AnalysisHeading1"/>
      </w:pPr>
      <w:r>
        <w:lastRenderedPageBreak/>
        <w:t>1. Summative Interview Analysis</w:t>
      </w: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850"/>
        <w:gridCol w:w="4300"/>
        <w:gridCol w:w="5300"/>
        <w:gridCol w:w="4790"/>
      </w:tblGrid>
      <w:tr w:rsidR="00A849B5" w14:paraId="243CBED2" w14:textId="77777777">
        <w:trPr>
          <w:cantSplit/>
          <w:tblHeader/>
        </w:trPr>
        <w:tc>
          <w:tcPr>
            <w:tcW w:w="850" w:type="dxa"/>
            <w:shd w:val="clear" w:color="auto" w:fill="8B0D26"/>
            <w:tcMar>
              <w:top w:w="105" w:type="dxa"/>
              <w:left w:w="125" w:type="dxa"/>
              <w:bottom w:w="105" w:type="dxa"/>
              <w:right w:w="125" w:type="dxa"/>
            </w:tcMar>
            <w:vAlign w:val="center"/>
          </w:tcPr>
          <w:p w14:paraId="6C7F6791" w14:textId="77777777" w:rsidR="00A849B5" w:rsidRDefault="00000000">
            <w:pPr>
              <w:jc w:val="center"/>
            </w:pPr>
            <w:r>
              <w:rPr>
                <w:rFonts w:ascii="Arial" w:hAnsi="Arial"/>
                <w:b/>
                <w:color w:val="FFFFFF"/>
                <w:sz w:val="15"/>
              </w:rPr>
              <w:t>Focus</w:t>
            </w:r>
          </w:p>
        </w:tc>
        <w:tc>
          <w:tcPr>
            <w:tcW w:w="4300" w:type="dxa"/>
            <w:shd w:val="clear" w:color="auto" w:fill="8B0D26"/>
            <w:tcMar>
              <w:top w:w="105" w:type="dxa"/>
              <w:left w:w="125" w:type="dxa"/>
              <w:bottom w:w="105" w:type="dxa"/>
              <w:right w:w="125" w:type="dxa"/>
            </w:tcMar>
            <w:vAlign w:val="center"/>
          </w:tcPr>
          <w:p w14:paraId="6EB51F35" w14:textId="77777777" w:rsidR="00A849B5" w:rsidRDefault="00000000">
            <w:pPr>
              <w:jc w:val="center"/>
            </w:pPr>
            <w:r>
              <w:rPr>
                <w:rFonts w:ascii="Arial" w:hAnsi="Arial"/>
                <w:b/>
                <w:color w:val="FFFFFF"/>
                <w:sz w:val="15"/>
              </w:rPr>
              <w:t>Evaluation summary</w:t>
            </w:r>
          </w:p>
        </w:tc>
        <w:tc>
          <w:tcPr>
            <w:tcW w:w="5300" w:type="dxa"/>
            <w:shd w:val="clear" w:color="auto" w:fill="8B0D26"/>
            <w:tcMar>
              <w:top w:w="105" w:type="dxa"/>
              <w:left w:w="125" w:type="dxa"/>
              <w:bottom w:w="105" w:type="dxa"/>
              <w:right w:w="125" w:type="dxa"/>
            </w:tcMar>
            <w:vAlign w:val="center"/>
          </w:tcPr>
          <w:p w14:paraId="357B25EC" w14:textId="77777777" w:rsidR="00A849B5" w:rsidRDefault="00000000">
            <w:pPr>
              <w:jc w:val="center"/>
            </w:pPr>
            <w:r>
              <w:rPr>
                <w:rFonts w:ascii="Arial" w:hAnsi="Arial"/>
                <w:b/>
                <w:color w:val="FFFFFF"/>
                <w:sz w:val="15"/>
              </w:rPr>
              <w:t>Compact coding rationale</w:t>
            </w:r>
          </w:p>
        </w:tc>
        <w:tc>
          <w:tcPr>
            <w:tcW w:w="4790" w:type="dxa"/>
            <w:shd w:val="clear" w:color="auto" w:fill="8B0D26"/>
            <w:tcMar>
              <w:top w:w="105" w:type="dxa"/>
              <w:left w:w="125" w:type="dxa"/>
              <w:bottom w:w="105" w:type="dxa"/>
              <w:right w:w="125" w:type="dxa"/>
            </w:tcMar>
            <w:vAlign w:val="center"/>
          </w:tcPr>
          <w:p w14:paraId="506A9757" w14:textId="77777777" w:rsidR="00A849B5" w:rsidRDefault="00000000">
            <w:pPr>
              <w:jc w:val="center"/>
            </w:pPr>
            <w:r>
              <w:rPr>
                <w:rFonts w:ascii="Arial" w:hAnsi="Arial"/>
                <w:b/>
                <w:color w:val="FFFFFF"/>
                <w:sz w:val="15"/>
              </w:rPr>
              <w:t>Main implication</w:t>
            </w:r>
          </w:p>
        </w:tc>
      </w:tr>
      <w:tr w:rsidR="00A849B5" w14:paraId="52EF4B13" w14:textId="77777777">
        <w:trPr>
          <w:cantSplit/>
        </w:trPr>
        <w:tc>
          <w:tcPr>
            <w:tcW w:w="850" w:type="dxa"/>
            <w:shd w:val="clear" w:color="auto" w:fill="FFFFFF"/>
            <w:tcMar>
              <w:top w:w="105" w:type="dxa"/>
              <w:left w:w="125" w:type="dxa"/>
              <w:bottom w:w="105" w:type="dxa"/>
              <w:right w:w="125" w:type="dxa"/>
            </w:tcMar>
            <w:vAlign w:val="center"/>
          </w:tcPr>
          <w:p w14:paraId="49714C70" w14:textId="77777777" w:rsidR="00A849B5" w:rsidRDefault="00000000">
            <w:pPr>
              <w:jc w:val="center"/>
            </w:pPr>
            <w:r>
              <w:rPr>
                <w:rFonts w:ascii="Arial" w:hAnsi="Arial"/>
                <w:color w:val="262626"/>
                <w:sz w:val="16"/>
              </w:rPr>
              <w:t>Set</w:t>
            </w:r>
          </w:p>
        </w:tc>
        <w:tc>
          <w:tcPr>
            <w:tcW w:w="4300" w:type="dxa"/>
            <w:shd w:val="clear" w:color="auto" w:fill="FFFFFF"/>
            <w:tcMar>
              <w:top w:w="105" w:type="dxa"/>
              <w:left w:w="125" w:type="dxa"/>
              <w:bottom w:w="105" w:type="dxa"/>
              <w:right w:w="125" w:type="dxa"/>
            </w:tcMar>
            <w:vAlign w:val="center"/>
          </w:tcPr>
          <w:p w14:paraId="1A8E4FD6" w14:textId="77777777" w:rsidR="00A849B5" w:rsidRDefault="00000000">
            <w:r>
              <w:rPr>
                <w:rFonts w:ascii="Arial" w:hAnsi="Arial"/>
                <w:color w:val="262626"/>
                <w:sz w:val="16"/>
              </w:rPr>
              <w:t>Clear and broadly complete; later described as relevant and beneficial for courses whose existing tasks are now easy for GenAI.</w:t>
            </w:r>
          </w:p>
        </w:tc>
        <w:tc>
          <w:tcPr>
            <w:tcW w:w="5300" w:type="dxa"/>
            <w:shd w:val="clear" w:color="auto" w:fill="FFFFFF"/>
            <w:tcMar>
              <w:top w:w="105" w:type="dxa"/>
              <w:left w:w="125" w:type="dxa"/>
              <w:bottom w:w="105" w:type="dxa"/>
              <w:right w:w="125" w:type="dxa"/>
            </w:tcMar>
            <w:vAlign w:val="center"/>
          </w:tcPr>
          <w:p w14:paraId="609994D7" w14:textId="77777777" w:rsidR="00A849B5" w:rsidRDefault="00000000">
            <w:r>
              <w:rPr>
                <w:rFonts w:ascii="Arial" w:hAnsi="Arial"/>
                <w:color w:val="262626"/>
                <w:sz w:val="16"/>
              </w:rPr>
              <w:t>Covers expected aspects + no omission + concrete course need -&gt; overall clarity, coverage, and relevance.</w:t>
            </w:r>
          </w:p>
        </w:tc>
        <w:tc>
          <w:tcPr>
            <w:tcW w:w="4790" w:type="dxa"/>
            <w:shd w:val="clear" w:color="auto" w:fill="FFFFFF"/>
            <w:tcMar>
              <w:top w:w="105" w:type="dxa"/>
              <w:left w:w="125" w:type="dxa"/>
              <w:bottom w:w="105" w:type="dxa"/>
              <w:right w:w="125" w:type="dxa"/>
            </w:tcMar>
            <w:vAlign w:val="center"/>
          </w:tcPr>
          <w:p w14:paraId="7EEFDC9C" w14:textId="77777777" w:rsidR="00A849B5" w:rsidRDefault="00000000">
            <w:r>
              <w:rPr>
                <w:rFonts w:ascii="Arial" w:hAnsi="Arial"/>
                <w:color w:val="262626"/>
                <w:sz w:val="16"/>
              </w:rPr>
              <w:t>Retain the set; treat later comments as targeted clarification and implementation guidance.</w:t>
            </w:r>
          </w:p>
        </w:tc>
      </w:tr>
      <w:tr w:rsidR="00A849B5" w14:paraId="3EA531FF" w14:textId="77777777">
        <w:trPr>
          <w:cantSplit/>
        </w:trPr>
        <w:tc>
          <w:tcPr>
            <w:tcW w:w="850" w:type="dxa"/>
            <w:shd w:val="clear" w:color="auto" w:fill="F4F5F6"/>
            <w:tcMar>
              <w:top w:w="105" w:type="dxa"/>
              <w:left w:w="125" w:type="dxa"/>
              <w:bottom w:w="105" w:type="dxa"/>
              <w:right w:w="125" w:type="dxa"/>
            </w:tcMar>
            <w:vAlign w:val="center"/>
          </w:tcPr>
          <w:p w14:paraId="4120023A" w14:textId="77777777" w:rsidR="00A849B5" w:rsidRDefault="00000000">
            <w:pPr>
              <w:jc w:val="center"/>
            </w:pPr>
            <w:r>
              <w:rPr>
                <w:rFonts w:ascii="Arial" w:hAnsi="Arial"/>
                <w:color w:val="262626"/>
                <w:sz w:val="16"/>
              </w:rPr>
              <w:t>G1</w:t>
            </w:r>
          </w:p>
        </w:tc>
        <w:tc>
          <w:tcPr>
            <w:tcW w:w="4300" w:type="dxa"/>
            <w:shd w:val="clear" w:color="auto" w:fill="F4F5F6"/>
            <w:tcMar>
              <w:top w:w="105" w:type="dxa"/>
              <w:left w:w="125" w:type="dxa"/>
              <w:bottom w:w="105" w:type="dxa"/>
              <w:right w:w="125" w:type="dxa"/>
            </w:tcMar>
            <w:vAlign w:val="center"/>
          </w:tcPr>
          <w:p w14:paraId="04023B3F" w14:textId="77777777" w:rsidR="00A849B5" w:rsidRDefault="00000000">
            <w:r>
              <w:rPr>
                <w:rFonts w:ascii="Arial" w:hAnsi="Arial"/>
                <w:color w:val="262626"/>
                <w:sz w:val="16"/>
              </w:rPr>
              <w:t>Clear, well formulated, and applicable; it can extend syllabus outcomes by specifying independent, supported, or critical GenAI use.</w:t>
            </w:r>
          </w:p>
        </w:tc>
        <w:tc>
          <w:tcPr>
            <w:tcW w:w="5300" w:type="dxa"/>
            <w:shd w:val="clear" w:color="auto" w:fill="F4F5F6"/>
            <w:tcMar>
              <w:top w:w="105" w:type="dxa"/>
              <w:left w:w="125" w:type="dxa"/>
              <w:bottom w:w="105" w:type="dxa"/>
              <w:right w:w="125" w:type="dxa"/>
            </w:tcMar>
            <w:vAlign w:val="center"/>
          </w:tcPr>
          <w:p w14:paraId="64A7A0FF" w14:textId="77777777" w:rsidR="00A849B5" w:rsidRDefault="00000000">
            <w:r>
              <w:rPr>
                <w:rFonts w:ascii="Arial" w:hAnsi="Arial"/>
                <w:color w:val="262626"/>
                <w:sz w:val="16"/>
              </w:rPr>
              <w:t>Good formulation + syllabus linkage + student-facing limits -&gt; competence-rule alignment.</w:t>
            </w:r>
          </w:p>
        </w:tc>
        <w:tc>
          <w:tcPr>
            <w:tcW w:w="4790" w:type="dxa"/>
            <w:shd w:val="clear" w:color="auto" w:fill="F4F5F6"/>
            <w:tcMar>
              <w:top w:w="105" w:type="dxa"/>
              <w:left w:w="125" w:type="dxa"/>
              <w:bottom w:w="105" w:type="dxa"/>
              <w:right w:w="125" w:type="dxa"/>
            </w:tcMar>
            <w:vAlign w:val="center"/>
          </w:tcPr>
          <w:p w14:paraId="0DD850EC" w14:textId="77777777" w:rsidR="00A849B5" w:rsidRDefault="00000000">
            <w:r>
              <w:rPr>
                <w:rFonts w:ascii="Arial" w:hAnsi="Arial"/>
                <w:color w:val="262626"/>
                <w:sz w:val="16"/>
              </w:rPr>
              <w:t>Retain; make the permitted mode explicit to students.</w:t>
            </w:r>
          </w:p>
        </w:tc>
      </w:tr>
      <w:tr w:rsidR="00A849B5" w14:paraId="42CDE70A" w14:textId="77777777">
        <w:trPr>
          <w:cantSplit/>
        </w:trPr>
        <w:tc>
          <w:tcPr>
            <w:tcW w:w="850" w:type="dxa"/>
            <w:shd w:val="clear" w:color="auto" w:fill="FFFFFF"/>
            <w:tcMar>
              <w:top w:w="105" w:type="dxa"/>
              <w:left w:w="125" w:type="dxa"/>
              <w:bottom w:w="105" w:type="dxa"/>
              <w:right w:w="125" w:type="dxa"/>
            </w:tcMar>
            <w:vAlign w:val="center"/>
          </w:tcPr>
          <w:p w14:paraId="627BC951" w14:textId="77777777" w:rsidR="00A849B5" w:rsidRDefault="00000000">
            <w:pPr>
              <w:jc w:val="center"/>
            </w:pPr>
            <w:r>
              <w:rPr>
                <w:rFonts w:ascii="Arial" w:hAnsi="Arial"/>
                <w:color w:val="262626"/>
                <w:sz w:val="16"/>
              </w:rPr>
              <w:t>G2</w:t>
            </w:r>
          </w:p>
        </w:tc>
        <w:tc>
          <w:tcPr>
            <w:tcW w:w="4300" w:type="dxa"/>
            <w:shd w:val="clear" w:color="auto" w:fill="FFFFFF"/>
            <w:tcMar>
              <w:top w:w="105" w:type="dxa"/>
              <w:left w:w="125" w:type="dxa"/>
              <w:bottom w:w="105" w:type="dxa"/>
              <w:right w:w="125" w:type="dxa"/>
            </w:tcMar>
            <w:vAlign w:val="center"/>
          </w:tcPr>
          <w:p w14:paraId="41E725C8" w14:textId="77777777" w:rsidR="00A849B5" w:rsidRDefault="00000000">
            <w:r>
              <w:rPr>
                <w:rFonts w:ascii="Arial" w:hAnsi="Arial"/>
                <w:color w:val="262626"/>
                <w:sz w:val="16"/>
              </w:rPr>
              <w:t>Good and ranked essential, but implementation depends on clearly defining each task, examination moment, and required activity.</w:t>
            </w:r>
          </w:p>
        </w:tc>
        <w:tc>
          <w:tcPr>
            <w:tcW w:w="5300" w:type="dxa"/>
            <w:shd w:val="clear" w:color="auto" w:fill="FFFFFF"/>
            <w:tcMar>
              <w:top w:w="105" w:type="dxa"/>
              <w:left w:w="125" w:type="dxa"/>
              <w:bottom w:w="105" w:type="dxa"/>
              <w:right w:w="125" w:type="dxa"/>
            </w:tcMar>
            <w:vAlign w:val="center"/>
          </w:tcPr>
          <w:p w14:paraId="5BA13F13" w14:textId="77777777" w:rsidR="00A849B5" w:rsidRDefault="00000000">
            <w:r>
              <w:rPr>
                <w:rFonts w:ascii="Arial" w:hAnsi="Arial"/>
                <w:color w:val="262626"/>
                <w:sz w:val="16"/>
              </w:rPr>
              <w:t>Task-level rules + locally ambiguous oral follow-up -&gt; assessment-specification dependency.</w:t>
            </w:r>
          </w:p>
        </w:tc>
        <w:tc>
          <w:tcPr>
            <w:tcW w:w="4790" w:type="dxa"/>
            <w:shd w:val="clear" w:color="auto" w:fill="FFFFFF"/>
            <w:tcMar>
              <w:top w:w="105" w:type="dxa"/>
              <w:left w:w="125" w:type="dxa"/>
              <w:bottom w:w="105" w:type="dxa"/>
              <w:right w:w="125" w:type="dxa"/>
            </w:tcMar>
            <w:vAlign w:val="center"/>
          </w:tcPr>
          <w:p w14:paraId="53FD9870" w14:textId="77777777" w:rsidR="00A849B5" w:rsidRDefault="00000000">
            <w:r>
              <w:rPr>
                <w:rFonts w:ascii="Arial" w:hAnsi="Arial"/>
                <w:color w:val="262626"/>
                <w:sz w:val="16"/>
              </w:rPr>
              <w:t>Retain; clarify the assessment component before assigning its GenAI status and consequences.</w:t>
            </w:r>
          </w:p>
        </w:tc>
      </w:tr>
      <w:tr w:rsidR="00A849B5" w14:paraId="6BE20D5C" w14:textId="77777777">
        <w:trPr>
          <w:cantSplit/>
        </w:trPr>
        <w:tc>
          <w:tcPr>
            <w:tcW w:w="850" w:type="dxa"/>
            <w:shd w:val="clear" w:color="auto" w:fill="F4F5F6"/>
            <w:tcMar>
              <w:top w:w="105" w:type="dxa"/>
              <w:left w:w="125" w:type="dxa"/>
              <w:bottom w:w="105" w:type="dxa"/>
              <w:right w:w="125" w:type="dxa"/>
            </w:tcMar>
            <w:vAlign w:val="center"/>
          </w:tcPr>
          <w:p w14:paraId="7025491D" w14:textId="77777777" w:rsidR="00A849B5" w:rsidRDefault="00000000">
            <w:pPr>
              <w:jc w:val="center"/>
            </w:pPr>
            <w:r>
              <w:rPr>
                <w:rFonts w:ascii="Arial" w:hAnsi="Arial"/>
                <w:color w:val="262626"/>
                <w:sz w:val="16"/>
              </w:rPr>
              <w:t>G3</w:t>
            </w:r>
          </w:p>
        </w:tc>
        <w:tc>
          <w:tcPr>
            <w:tcW w:w="4300" w:type="dxa"/>
            <w:shd w:val="clear" w:color="auto" w:fill="F4F5F6"/>
            <w:tcMar>
              <w:top w:w="105" w:type="dxa"/>
              <w:left w:w="125" w:type="dxa"/>
              <w:bottom w:w="105" w:type="dxa"/>
              <w:right w:w="125" w:type="dxa"/>
            </w:tcMar>
            <w:vAlign w:val="center"/>
          </w:tcPr>
          <w:p w14:paraId="6172DF9C" w14:textId="77777777" w:rsidR="00A849B5" w:rsidRDefault="00000000">
            <w:r>
              <w:rPr>
                <w:rFonts w:ascii="Arial" w:hAnsi="Arial"/>
                <w:color w:val="262626"/>
                <w:sz w:val="16"/>
              </w:rPr>
              <w:t>No substantive standalone evaluation was provided.</w:t>
            </w:r>
          </w:p>
        </w:tc>
        <w:tc>
          <w:tcPr>
            <w:tcW w:w="5300" w:type="dxa"/>
            <w:shd w:val="clear" w:color="auto" w:fill="F4F5F6"/>
            <w:tcMar>
              <w:top w:w="105" w:type="dxa"/>
              <w:left w:w="125" w:type="dxa"/>
              <w:bottom w:w="105" w:type="dxa"/>
              <w:right w:w="125" w:type="dxa"/>
            </w:tcMar>
            <w:vAlign w:val="center"/>
          </w:tcPr>
          <w:p w14:paraId="0EF94A1A" w14:textId="77777777" w:rsidR="00A849B5" w:rsidRDefault="00000000">
            <w:r>
              <w:rPr>
                <w:rFonts w:ascii="Arial" w:hAnsi="Arial"/>
                <w:color w:val="262626"/>
                <w:sz w:val="16"/>
              </w:rPr>
              <w:t>Participant stated they had little to add, then moved to G4 -&gt; no evaluative unit for G3.</w:t>
            </w:r>
          </w:p>
        </w:tc>
        <w:tc>
          <w:tcPr>
            <w:tcW w:w="4790" w:type="dxa"/>
            <w:shd w:val="clear" w:color="auto" w:fill="F4F5F6"/>
            <w:tcMar>
              <w:top w:w="105" w:type="dxa"/>
              <w:left w:w="125" w:type="dxa"/>
              <w:bottom w:w="105" w:type="dxa"/>
              <w:right w:w="125" w:type="dxa"/>
            </w:tcMar>
            <w:vAlign w:val="center"/>
          </w:tcPr>
          <w:p w14:paraId="0C9C868A" w14:textId="77777777" w:rsidR="00A849B5" w:rsidRDefault="00000000">
            <w:r>
              <w:rPr>
                <w:rFonts w:ascii="Arial" w:hAnsi="Arial"/>
                <w:color w:val="262626"/>
                <w:sz w:val="16"/>
              </w:rPr>
              <w:t>Do not use I3 as evidence to retain or revise G3.</w:t>
            </w:r>
          </w:p>
        </w:tc>
      </w:tr>
      <w:tr w:rsidR="00A849B5" w14:paraId="7D27213B" w14:textId="77777777">
        <w:trPr>
          <w:cantSplit/>
        </w:trPr>
        <w:tc>
          <w:tcPr>
            <w:tcW w:w="850" w:type="dxa"/>
            <w:shd w:val="clear" w:color="auto" w:fill="FFFFFF"/>
            <w:tcMar>
              <w:top w:w="105" w:type="dxa"/>
              <w:left w:w="125" w:type="dxa"/>
              <w:bottom w:w="105" w:type="dxa"/>
              <w:right w:w="125" w:type="dxa"/>
            </w:tcMar>
            <w:vAlign w:val="center"/>
          </w:tcPr>
          <w:p w14:paraId="5A276939" w14:textId="77777777" w:rsidR="00A849B5" w:rsidRDefault="00000000">
            <w:pPr>
              <w:jc w:val="center"/>
            </w:pPr>
            <w:r>
              <w:rPr>
                <w:rFonts w:ascii="Arial" w:hAnsi="Arial"/>
                <w:color w:val="262626"/>
                <w:sz w:val="16"/>
              </w:rPr>
              <w:t>G4</w:t>
            </w:r>
          </w:p>
        </w:tc>
        <w:tc>
          <w:tcPr>
            <w:tcW w:w="4300" w:type="dxa"/>
            <w:shd w:val="clear" w:color="auto" w:fill="FFFFFF"/>
            <w:tcMar>
              <w:top w:w="105" w:type="dxa"/>
              <w:left w:w="125" w:type="dxa"/>
              <w:bottom w:w="105" w:type="dxa"/>
              <w:right w:w="125" w:type="dxa"/>
            </w:tcMar>
            <w:vAlign w:val="center"/>
          </w:tcPr>
          <w:p w14:paraId="34FC91A4" w14:textId="77777777" w:rsidR="00A849B5" w:rsidRDefault="00000000">
            <w:r>
              <w:rPr>
                <w:rFonts w:ascii="Arial" w:hAnsi="Arial"/>
                <w:color w:val="262626"/>
                <w:sz w:val="16"/>
              </w:rPr>
              <w:t>Relevant intent, but the wording is partly unclear: “improve its output” may imply a second attempt or resubmission, which some assessments do not allow.</w:t>
            </w:r>
          </w:p>
        </w:tc>
        <w:tc>
          <w:tcPr>
            <w:tcW w:w="5300" w:type="dxa"/>
            <w:shd w:val="clear" w:color="auto" w:fill="FFFFFF"/>
            <w:tcMar>
              <w:top w:w="105" w:type="dxa"/>
              <w:left w:w="125" w:type="dxa"/>
              <w:bottom w:w="105" w:type="dxa"/>
              <w:right w:w="125" w:type="dxa"/>
            </w:tcMar>
            <w:vAlign w:val="center"/>
          </w:tcPr>
          <w:p w14:paraId="586C0390" w14:textId="77777777" w:rsidR="00A849B5" w:rsidRDefault="00000000">
            <w:r>
              <w:rPr>
                <w:rFonts w:ascii="Arial" w:hAnsi="Arial"/>
                <w:color w:val="262626"/>
                <w:sz w:val="16"/>
              </w:rPr>
              <w:t>Test/explain/challenge accepted + improve read as do-it-again -&gt; verification-resubmission ambiguity.</w:t>
            </w:r>
          </w:p>
        </w:tc>
        <w:tc>
          <w:tcPr>
            <w:tcW w:w="4790" w:type="dxa"/>
            <w:shd w:val="clear" w:color="auto" w:fill="FFFFFF"/>
            <w:tcMar>
              <w:top w:w="105" w:type="dxa"/>
              <w:left w:w="125" w:type="dxa"/>
              <w:bottom w:w="105" w:type="dxa"/>
              <w:right w:w="125" w:type="dxa"/>
            </w:tcMar>
            <w:vAlign w:val="center"/>
          </w:tcPr>
          <w:p w14:paraId="42D193FD" w14:textId="77777777" w:rsidR="00A849B5" w:rsidRDefault="00000000">
            <w:r>
              <w:rPr>
                <w:rFonts w:ascii="Arial" w:hAnsi="Arial"/>
                <w:color w:val="262626"/>
                <w:sz w:val="16"/>
              </w:rPr>
              <w:t>Clarify or replace “improve” so the guideline assesses critical judgment without implying reassessment.</w:t>
            </w:r>
          </w:p>
        </w:tc>
      </w:tr>
      <w:tr w:rsidR="00A849B5" w14:paraId="6514A7EA" w14:textId="77777777">
        <w:trPr>
          <w:cantSplit/>
        </w:trPr>
        <w:tc>
          <w:tcPr>
            <w:tcW w:w="850" w:type="dxa"/>
            <w:shd w:val="clear" w:color="auto" w:fill="F4F5F6"/>
            <w:tcMar>
              <w:top w:w="105" w:type="dxa"/>
              <w:left w:w="125" w:type="dxa"/>
              <w:bottom w:w="105" w:type="dxa"/>
              <w:right w:w="125" w:type="dxa"/>
            </w:tcMar>
            <w:vAlign w:val="center"/>
          </w:tcPr>
          <w:p w14:paraId="6132C9D8" w14:textId="77777777" w:rsidR="00A849B5" w:rsidRDefault="00000000">
            <w:pPr>
              <w:jc w:val="center"/>
            </w:pPr>
            <w:r>
              <w:rPr>
                <w:rFonts w:ascii="Arial" w:hAnsi="Arial"/>
                <w:color w:val="262626"/>
                <w:sz w:val="16"/>
              </w:rPr>
              <w:t>G5</w:t>
            </w:r>
          </w:p>
        </w:tc>
        <w:tc>
          <w:tcPr>
            <w:tcW w:w="4300" w:type="dxa"/>
            <w:shd w:val="clear" w:color="auto" w:fill="F4F5F6"/>
            <w:tcMar>
              <w:top w:w="105" w:type="dxa"/>
              <w:left w:w="125" w:type="dxa"/>
              <w:bottom w:w="105" w:type="dxa"/>
              <w:right w:w="125" w:type="dxa"/>
            </w:tcMar>
            <w:vAlign w:val="center"/>
          </w:tcPr>
          <w:p w14:paraId="74765595" w14:textId="77777777" w:rsidR="00A849B5" w:rsidRDefault="00000000">
            <w:r>
              <w:rPr>
                <w:rFonts w:ascii="Arial" w:hAnsi="Arial"/>
                <w:color w:val="262626"/>
                <w:sz w:val="16"/>
              </w:rPr>
              <w:t>Presented with G3-G4, but no standalone judgment or supporting reason was elicited.</w:t>
            </w:r>
          </w:p>
        </w:tc>
        <w:tc>
          <w:tcPr>
            <w:tcW w:w="5300" w:type="dxa"/>
            <w:shd w:val="clear" w:color="auto" w:fill="F4F5F6"/>
            <w:tcMar>
              <w:top w:w="105" w:type="dxa"/>
              <w:left w:w="125" w:type="dxa"/>
              <w:bottom w:w="105" w:type="dxa"/>
              <w:right w:w="125" w:type="dxa"/>
            </w:tcMar>
            <w:vAlign w:val="center"/>
          </w:tcPr>
          <w:p w14:paraId="7ABE2777" w14:textId="77777777" w:rsidR="00A849B5" w:rsidRDefault="00000000">
            <w:r>
              <w:rPr>
                <w:rFonts w:ascii="Arial" w:hAnsi="Arial"/>
                <w:color w:val="262626"/>
                <w:sz w:val="16"/>
              </w:rPr>
              <w:t>No direct evaluative unit -&gt; no judgment; overall support is not treated as guideline-specific evidence.</w:t>
            </w:r>
          </w:p>
        </w:tc>
        <w:tc>
          <w:tcPr>
            <w:tcW w:w="4790" w:type="dxa"/>
            <w:shd w:val="clear" w:color="auto" w:fill="F4F5F6"/>
            <w:tcMar>
              <w:top w:w="105" w:type="dxa"/>
              <w:left w:w="125" w:type="dxa"/>
              <w:bottom w:w="105" w:type="dxa"/>
              <w:right w:w="125" w:type="dxa"/>
            </w:tcMar>
            <w:vAlign w:val="center"/>
          </w:tcPr>
          <w:p w14:paraId="6BFD0779" w14:textId="77777777" w:rsidR="00A849B5" w:rsidRDefault="00000000">
            <w:r>
              <w:rPr>
                <w:rFonts w:ascii="Arial" w:hAnsi="Arial"/>
                <w:color w:val="262626"/>
                <w:sz w:val="16"/>
              </w:rPr>
              <w:t>Do not use I3 alone as evidence to retain or revise G5.</w:t>
            </w:r>
          </w:p>
        </w:tc>
      </w:tr>
      <w:tr w:rsidR="00A849B5" w14:paraId="7632EBE0" w14:textId="77777777">
        <w:trPr>
          <w:cantSplit/>
        </w:trPr>
        <w:tc>
          <w:tcPr>
            <w:tcW w:w="850" w:type="dxa"/>
            <w:shd w:val="clear" w:color="auto" w:fill="FFFFFF"/>
            <w:tcMar>
              <w:top w:w="105" w:type="dxa"/>
              <w:left w:w="125" w:type="dxa"/>
              <w:bottom w:w="105" w:type="dxa"/>
              <w:right w:w="125" w:type="dxa"/>
            </w:tcMar>
            <w:vAlign w:val="center"/>
          </w:tcPr>
          <w:p w14:paraId="647A98B1" w14:textId="77777777" w:rsidR="00A849B5" w:rsidRDefault="00000000">
            <w:pPr>
              <w:jc w:val="center"/>
            </w:pPr>
            <w:r>
              <w:rPr>
                <w:rFonts w:ascii="Arial" w:hAnsi="Arial"/>
                <w:color w:val="262626"/>
                <w:sz w:val="16"/>
              </w:rPr>
              <w:t>G6</w:t>
            </w:r>
          </w:p>
        </w:tc>
        <w:tc>
          <w:tcPr>
            <w:tcW w:w="4300" w:type="dxa"/>
            <w:shd w:val="clear" w:color="auto" w:fill="FFFFFF"/>
            <w:tcMar>
              <w:top w:w="105" w:type="dxa"/>
              <w:left w:w="125" w:type="dxa"/>
              <w:bottom w:w="105" w:type="dxa"/>
              <w:right w:w="125" w:type="dxa"/>
            </w:tcMar>
            <w:vAlign w:val="center"/>
          </w:tcPr>
          <w:p w14:paraId="4E40B297" w14:textId="77777777" w:rsidR="00A849B5" w:rsidRDefault="00000000">
            <w:r>
              <w:rPr>
                <w:rFonts w:ascii="Arial" w:hAnsi="Arial"/>
                <w:color w:val="262626"/>
                <w:sz w:val="16"/>
              </w:rPr>
              <w:t>Clear and supported without qualification; the preparation-versus-assessed-performance distinction made sense.</w:t>
            </w:r>
          </w:p>
        </w:tc>
        <w:tc>
          <w:tcPr>
            <w:tcW w:w="5300" w:type="dxa"/>
            <w:shd w:val="clear" w:color="auto" w:fill="FFFFFF"/>
            <w:tcMar>
              <w:top w:w="105" w:type="dxa"/>
              <w:left w:w="125" w:type="dxa"/>
              <w:bottom w:w="105" w:type="dxa"/>
              <w:right w:w="125" w:type="dxa"/>
            </w:tcMar>
            <w:vAlign w:val="center"/>
          </w:tcPr>
          <w:p w14:paraId="2310211A" w14:textId="77777777" w:rsidR="00A849B5" w:rsidRDefault="00000000">
            <w:r>
              <w:rPr>
                <w:rFonts w:ascii="Arial" w:hAnsi="Arial"/>
                <w:color w:val="262626"/>
                <w:sz w:val="16"/>
              </w:rPr>
              <w:t>Makes sense + looks good + no comment -&gt; direct clarity/relevance support.</w:t>
            </w:r>
          </w:p>
        </w:tc>
        <w:tc>
          <w:tcPr>
            <w:tcW w:w="4790" w:type="dxa"/>
            <w:shd w:val="clear" w:color="auto" w:fill="FFFFFF"/>
            <w:tcMar>
              <w:top w:w="105" w:type="dxa"/>
              <w:left w:w="125" w:type="dxa"/>
              <w:bottom w:w="105" w:type="dxa"/>
              <w:right w:w="125" w:type="dxa"/>
            </w:tcMar>
            <w:vAlign w:val="center"/>
          </w:tcPr>
          <w:p w14:paraId="3CD2988B" w14:textId="77777777" w:rsidR="00A849B5" w:rsidRDefault="00000000">
            <w:r>
              <w:rPr>
                <w:rFonts w:ascii="Arial" w:hAnsi="Arial"/>
                <w:color w:val="262626"/>
                <w:sz w:val="16"/>
              </w:rPr>
              <w:t>Retain.</w:t>
            </w:r>
          </w:p>
        </w:tc>
      </w:tr>
      <w:tr w:rsidR="00A849B5" w14:paraId="7DA5B1B2" w14:textId="77777777">
        <w:trPr>
          <w:cantSplit/>
        </w:trPr>
        <w:tc>
          <w:tcPr>
            <w:tcW w:w="850" w:type="dxa"/>
            <w:shd w:val="clear" w:color="auto" w:fill="F4F5F6"/>
            <w:tcMar>
              <w:top w:w="105" w:type="dxa"/>
              <w:left w:w="125" w:type="dxa"/>
              <w:bottom w:w="105" w:type="dxa"/>
              <w:right w:w="125" w:type="dxa"/>
            </w:tcMar>
            <w:vAlign w:val="center"/>
          </w:tcPr>
          <w:p w14:paraId="1A8FF959" w14:textId="77777777" w:rsidR="00A849B5" w:rsidRDefault="00000000">
            <w:pPr>
              <w:jc w:val="center"/>
            </w:pPr>
            <w:r>
              <w:rPr>
                <w:rFonts w:ascii="Arial" w:hAnsi="Arial"/>
                <w:color w:val="262626"/>
                <w:sz w:val="16"/>
              </w:rPr>
              <w:t>G7</w:t>
            </w:r>
          </w:p>
        </w:tc>
        <w:tc>
          <w:tcPr>
            <w:tcW w:w="4300" w:type="dxa"/>
            <w:shd w:val="clear" w:color="auto" w:fill="F4F5F6"/>
            <w:tcMar>
              <w:top w:w="105" w:type="dxa"/>
              <w:left w:w="125" w:type="dxa"/>
              <w:bottom w:w="105" w:type="dxa"/>
              <w:right w:w="125" w:type="dxa"/>
            </w:tcMar>
            <w:vAlign w:val="center"/>
          </w:tcPr>
          <w:p w14:paraId="205D804F" w14:textId="77777777" w:rsidR="00A849B5" w:rsidRDefault="00000000">
            <w:r>
              <w:rPr>
                <w:rFonts w:ascii="Arial" w:hAnsi="Arial"/>
                <w:color w:val="262626"/>
                <w:sz w:val="16"/>
              </w:rPr>
              <w:t>Clear and relevant as the training and pedagogical dimension of the set; no feasibility concern was raised.</w:t>
            </w:r>
          </w:p>
        </w:tc>
        <w:tc>
          <w:tcPr>
            <w:tcW w:w="5300" w:type="dxa"/>
            <w:shd w:val="clear" w:color="auto" w:fill="F4F5F6"/>
            <w:tcMar>
              <w:top w:w="105" w:type="dxa"/>
              <w:left w:w="125" w:type="dxa"/>
              <w:bottom w:w="105" w:type="dxa"/>
              <w:right w:w="125" w:type="dxa"/>
            </w:tcMar>
            <w:vAlign w:val="center"/>
          </w:tcPr>
          <w:p w14:paraId="3E101A49" w14:textId="77777777" w:rsidR="00A849B5" w:rsidRDefault="00000000">
            <w:r>
              <w:rPr>
                <w:rFonts w:ascii="Arial" w:hAnsi="Arial"/>
                <w:color w:val="262626"/>
                <w:sz w:val="16"/>
              </w:rPr>
              <w:t>Makes sense + identified as training/pedagogy -&gt; responsible-use education theme.</w:t>
            </w:r>
          </w:p>
        </w:tc>
        <w:tc>
          <w:tcPr>
            <w:tcW w:w="4790" w:type="dxa"/>
            <w:shd w:val="clear" w:color="auto" w:fill="F4F5F6"/>
            <w:tcMar>
              <w:top w:w="105" w:type="dxa"/>
              <w:left w:w="125" w:type="dxa"/>
              <w:bottom w:w="105" w:type="dxa"/>
              <w:right w:w="125" w:type="dxa"/>
            </w:tcMar>
            <w:vAlign w:val="center"/>
          </w:tcPr>
          <w:p w14:paraId="0ACD3638" w14:textId="77777777" w:rsidR="00A849B5" w:rsidRDefault="00000000">
            <w:r>
              <w:rPr>
                <w:rFonts w:ascii="Arial" w:hAnsi="Arial"/>
                <w:color w:val="262626"/>
                <w:sz w:val="16"/>
              </w:rPr>
              <w:t>Retain; no revision supported by I3.</w:t>
            </w:r>
          </w:p>
        </w:tc>
      </w:tr>
    </w:tbl>
    <w:p w14:paraId="589EF213" w14:textId="77777777" w:rsidR="00A849B5" w:rsidRDefault="00A849B5">
      <w:pPr>
        <w:pStyle w:val="AnalysisBody"/>
      </w:pPr>
    </w:p>
    <w:p w14:paraId="64B998D8" w14:textId="77777777" w:rsidR="00A849B5" w:rsidRDefault="00000000">
      <w:r>
        <w:br w:type="page"/>
      </w:r>
    </w:p>
    <w:p w14:paraId="3D5B70C5" w14:textId="77A8644A" w:rsidR="00A849B5" w:rsidRDefault="00000000" w:rsidP="002205F6">
      <w:pPr>
        <w:pStyle w:val="AnalysisHeading1"/>
      </w:pPr>
      <w:r>
        <w:lastRenderedPageBreak/>
        <w:t>2. Summative Findings Beyond the Survey and SMS</w:t>
      </w: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3150"/>
        <w:gridCol w:w="6300"/>
        <w:gridCol w:w="1900"/>
        <w:gridCol w:w="3890"/>
      </w:tblGrid>
      <w:tr w:rsidR="00A849B5" w14:paraId="7038DA4C" w14:textId="77777777">
        <w:trPr>
          <w:cantSplit/>
          <w:tblHeader/>
        </w:trPr>
        <w:tc>
          <w:tcPr>
            <w:tcW w:w="3150" w:type="dxa"/>
            <w:shd w:val="clear" w:color="auto" w:fill="8B0D26"/>
            <w:tcMar>
              <w:top w:w="105" w:type="dxa"/>
              <w:left w:w="125" w:type="dxa"/>
              <w:bottom w:w="105" w:type="dxa"/>
              <w:right w:w="125" w:type="dxa"/>
            </w:tcMar>
            <w:vAlign w:val="center"/>
          </w:tcPr>
          <w:p w14:paraId="7801F8A0" w14:textId="77777777" w:rsidR="00A849B5" w:rsidRDefault="00000000">
            <w:pPr>
              <w:jc w:val="center"/>
            </w:pPr>
            <w:r>
              <w:rPr>
                <w:rFonts w:ascii="Arial" w:hAnsi="Arial"/>
                <w:b/>
                <w:color w:val="FFFFFF"/>
                <w:sz w:val="15"/>
              </w:rPr>
              <w:t>Summative finding</w:t>
            </w:r>
          </w:p>
        </w:tc>
        <w:tc>
          <w:tcPr>
            <w:tcW w:w="6300" w:type="dxa"/>
            <w:shd w:val="clear" w:color="auto" w:fill="8B0D26"/>
            <w:tcMar>
              <w:top w:w="105" w:type="dxa"/>
              <w:left w:w="125" w:type="dxa"/>
              <w:bottom w:w="105" w:type="dxa"/>
              <w:right w:w="125" w:type="dxa"/>
            </w:tcMar>
            <w:vAlign w:val="center"/>
          </w:tcPr>
          <w:p w14:paraId="7EAC01C4" w14:textId="77777777" w:rsidR="00A849B5" w:rsidRDefault="00000000">
            <w:pPr>
              <w:jc w:val="center"/>
            </w:pPr>
            <w:r>
              <w:rPr>
                <w:rFonts w:ascii="Arial" w:hAnsi="Arial"/>
                <w:b/>
                <w:color w:val="FFFFFF"/>
                <w:sz w:val="15"/>
              </w:rPr>
              <w:t>How I3 extends the prior evidence</w:t>
            </w:r>
          </w:p>
        </w:tc>
        <w:tc>
          <w:tcPr>
            <w:tcW w:w="1900" w:type="dxa"/>
            <w:shd w:val="clear" w:color="auto" w:fill="8B0D26"/>
            <w:tcMar>
              <w:top w:w="105" w:type="dxa"/>
              <w:left w:w="125" w:type="dxa"/>
              <w:bottom w:w="105" w:type="dxa"/>
              <w:right w:w="125" w:type="dxa"/>
            </w:tcMar>
            <w:vAlign w:val="center"/>
          </w:tcPr>
          <w:p w14:paraId="27CCAEC5" w14:textId="77777777" w:rsidR="00A849B5" w:rsidRDefault="00000000">
            <w:pPr>
              <w:jc w:val="center"/>
            </w:pPr>
            <w:r>
              <w:rPr>
                <w:rFonts w:ascii="Arial" w:hAnsi="Arial"/>
                <w:b/>
                <w:color w:val="FFFFFF"/>
                <w:sz w:val="15"/>
              </w:rPr>
              <w:t>I3 evidence</w:t>
            </w:r>
          </w:p>
        </w:tc>
        <w:tc>
          <w:tcPr>
            <w:tcW w:w="3890" w:type="dxa"/>
            <w:shd w:val="clear" w:color="auto" w:fill="8B0D26"/>
            <w:tcMar>
              <w:top w:w="105" w:type="dxa"/>
              <w:left w:w="125" w:type="dxa"/>
              <w:bottom w:w="105" w:type="dxa"/>
              <w:right w:w="125" w:type="dxa"/>
            </w:tcMar>
            <w:vAlign w:val="center"/>
          </w:tcPr>
          <w:p w14:paraId="72598B10" w14:textId="77777777" w:rsidR="00A849B5" w:rsidRDefault="00000000">
            <w:pPr>
              <w:jc w:val="center"/>
            </w:pPr>
            <w:r>
              <w:rPr>
                <w:rFonts w:ascii="Arial" w:hAnsi="Arial"/>
                <w:b/>
                <w:color w:val="FFFFFF"/>
                <w:sz w:val="15"/>
              </w:rPr>
              <w:t>Implication / status</w:t>
            </w:r>
          </w:p>
        </w:tc>
      </w:tr>
      <w:tr w:rsidR="00A849B5" w14:paraId="491BDA4A" w14:textId="77777777">
        <w:trPr>
          <w:cantSplit/>
        </w:trPr>
        <w:tc>
          <w:tcPr>
            <w:tcW w:w="3150" w:type="dxa"/>
            <w:shd w:val="clear" w:color="auto" w:fill="FFFFFF"/>
            <w:tcMar>
              <w:top w:w="105" w:type="dxa"/>
              <w:left w:w="125" w:type="dxa"/>
              <w:bottom w:w="105" w:type="dxa"/>
              <w:right w:w="125" w:type="dxa"/>
            </w:tcMar>
            <w:vAlign w:val="center"/>
          </w:tcPr>
          <w:p w14:paraId="501B8E9E" w14:textId="77777777" w:rsidR="00A849B5" w:rsidRDefault="00000000">
            <w:pPr>
              <w:jc w:val="center"/>
            </w:pPr>
            <w:r>
              <w:rPr>
                <w:rFonts w:ascii="Arial" w:hAnsi="Arial"/>
                <w:color w:val="262626"/>
                <w:sz w:val="16"/>
              </w:rPr>
              <w:t>GenAI rules expose prior ambiguity in assessment design</w:t>
            </w:r>
          </w:p>
        </w:tc>
        <w:tc>
          <w:tcPr>
            <w:tcW w:w="6300" w:type="dxa"/>
            <w:shd w:val="clear" w:color="auto" w:fill="FFFFFF"/>
            <w:tcMar>
              <w:top w:w="105" w:type="dxa"/>
              <w:left w:w="125" w:type="dxa"/>
              <w:bottom w:w="105" w:type="dxa"/>
              <w:right w:w="125" w:type="dxa"/>
            </w:tcMar>
            <w:vAlign w:val="center"/>
          </w:tcPr>
          <w:p w14:paraId="4C3B2AB9" w14:textId="77777777" w:rsidR="00A849B5" w:rsidRDefault="00000000">
            <w:r>
              <w:rPr>
                <w:rFonts w:ascii="Arial" w:hAnsi="Arial"/>
                <w:color w:val="262626"/>
                <w:sz w:val="16"/>
              </w:rPr>
              <w:t>The survey and SMS support task-specific rules. I3 adds that an educator may first need to define whether an assignment includes an oral presentation or another examination moment before a task-level GenAI rule can be applied coherently.</w:t>
            </w:r>
          </w:p>
        </w:tc>
        <w:tc>
          <w:tcPr>
            <w:tcW w:w="1900" w:type="dxa"/>
            <w:shd w:val="clear" w:color="auto" w:fill="FFFFFF"/>
            <w:tcMar>
              <w:top w:w="105" w:type="dxa"/>
              <w:left w:w="125" w:type="dxa"/>
              <w:bottom w:w="105" w:type="dxa"/>
              <w:right w:w="125" w:type="dxa"/>
            </w:tcMar>
            <w:vAlign w:val="center"/>
          </w:tcPr>
          <w:p w14:paraId="14E2E78E" w14:textId="77777777" w:rsidR="00A849B5" w:rsidRDefault="00000000">
            <w:r>
              <w:rPr>
                <w:rFonts w:ascii="Arial" w:hAnsi="Arial"/>
                <w:color w:val="262626"/>
                <w:sz w:val="16"/>
              </w:rPr>
              <w:t>5:12-6:23</w:t>
            </w:r>
          </w:p>
        </w:tc>
        <w:tc>
          <w:tcPr>
            <w:tcW w:w="3890" w:type="dxa"/>
            <w:shd w:val="clear" w:color="auto" w:fill="FFFFFF"/>
            <w:tcMar>
              <w:top w:w="105" w:type="dxa"/>
              <w:left w:w="125" w:type="dxa"/>
              <w:bottom w:w="105" w:type="dxa"/>
              <w:right w:w="125" w:type="dxa"/>
            </w:tcMar>
            <w:vAlign w:val="center"/>
          </w:tcPr>
          <w:p w14:paraId="5FD9FF16" w14:textId="77777777" w:rsidR="00A849B5" w:rsidRDefault="00000000">
            <w:r>
              <w:rPr>
                <w:rFonts w:ascii="Arial" w:hAnsi="Arial"/>
                <w:color w:val="262626"/>
                <w:sz w:val="16"/>
              </w:rPr>
              <w:t>Add an implementation check that the task, phases, and evidence are specified before setting permissions. New dependency mechanism; provisional.</w:t>
            </w:r>
          </w:p>
        </w:tc>
      </w:tr>
      <w:tr w:rsidR="00A849B5" w14:paraId="6E6A3365" w14:textId="77777777">
        <w:trPr>
          <w:cantSplit/>
        </w:trPr>
        <w:tc>
          <w:tcPr>
            <w:tcW w:w="3150" w:type="dxa"/>
            <w:shd w:val="clear" w:color="auto" w:fill="F4F5F6"/>
            <w:tcMar>
              <w:top w:w="105" w:type="dxa"/>
              <w:left w:w="125" w:type="dxa"/>
              <w:bottom w:w="105" w:type="dxa"/>
              <w:right w:w="125" w:type="dxa"/>
            </w:tcMar>
            <w:vAlign w:val="center"/>
          </w:tcPr>
          <w:p w14:paraId="4C9226EB" w14:textId="77777777" w:rsidR="00A849B5" w:rsidRDefault="00000000">
            <w:pPr>
              <w:jc w:val="center"/>
            </w:pPr>
            <w:r>
              <w:rPr>
                <w:rFonts w:ascii="Arial" w:hAnsi="Arial"/>
                <w:color w:val="262626"/>
                <w:sz w:val="16"/>
              </w:rPr>
              <w:t>Critical validation must be distinguished from reassessment</w:t>
            </w:r>
          </w:p>
        </w:tc>
        <w:tc>
          <w:tcPr>
            <w:tcW w:w="6300" w:type="dxa"/>
            <w:shd w:val="clear" w:color="auto" w:fill="F4F5F6"/>
            <w:tcMar>
              <w:top w:w="105" w:type="dxa"/>
              <w:left w:w="125" w:type="dxa"/>
              <w:bottom w:w="105" w:type="dxa"/>
              <w:right w:w="125" w:type="dxa"/>
            </w:tcMar>
            <w:vAlign w:val="center"/>
          </w:tcPr>
          <w:p w14:paraId="1DEBDDA4" w14:textId="77777777" w:rsidR="00A849B5" w:rsidRDefault="00000000">
            <w:r>
              <w:rPr>
                <w:rFonts w:ascii="Arial" w:hAnsi="Arial"/>
                <w:color w:val="262626"/>
                <w:sz w:val="16"/>
              </w:rPr>
              <w:t>Prior evidence supports testing, explanation, challenge, and improvement of generated work. I3 shows that “improve” can be interpreted procedurally as allowing the student to redo an assessment.</w:t>
            </w:r>
          </w:p>
        </w:tc>
        <w:tc>
          <w:tcPr>
            <w:tcW w:w="1900" w:type="dxa"/>
            <w:shd w:val="clear" w:color="auto" w:fill="F4F5F6"/>
            <w:tcMar>
              <w:top w:w="105" w:type="dxa"/>
              <w:left w:w="125" w:type="dxa"/>
              <w:bottom w:w="105" w:type="dxa"/>
              <w:right w:w="125" w:type="dxa"/>
            </w:tcMar>
            <w:vAlign w:val="center"/>
          </w:tcPr>
          <w:p w14:paraId="7CA28F00" w14:textId="77777777" w:rsidR="00A849B5" w:rsidRDefault="00000000">
            <w:r>
              <w:rPr>
                <w:rFonts w:ascii="Arial" w:hAnsi="Arial"/>
                <w:color w:val="262626"/>
                <w:sz w:val="16"/>
              </w:rPr>
              <w:t>8:45-11:17</w:t>
            </w:r>
          </w:p>
        </w:tc>
        <w:tc>
          <w:tcPr>
            <w:tcW w:w="3890" w:type="dxa"/>
            <w:shd w:val="clear" w:color="auto" w:fill="F4F5F6"/>
            <w:tcMar>
              <w:top w:w="105" w:type="dxa"/>
              <w:left w:w="125" w:type="dxa"/>
              <w:bottom w:w="105" w:type="dxa"/>
              <w:right w:w="125" w:type="dxa"/>
            </w:tcMar>
            <w:vAlign w:val="center"/>
          </w:tcPr>
          <w:p w14:paraId="0354FC93" w14:textId="77777777" w:rsidR="00A849B5" w:rsidRDefault="00000000">
            <w:r>
              <w:rPr>
                <w:rFonts w:ascii="Arial" w:hAnsi="Arial"/>
                <w:color w:val="262626"/>
                <w:sz w:val="16"/>
              </w:rPr>
              <w:t>Reword G4 to target identification and justification of improvements, or revision only where the assessment permits it. New wording/assessment-policy boundary.</w:t>
            </w:r>
          </w:p>
        </w:tc>
      </w:tr>
      <w:tr w:rsidR="00A849B5" w14:paraId="475D2391" w14:textId="77777777">
        <w:trPr>
          <w:cantSplit/>
        </w:trPr>
        <w:tc>
          <w:tcPr>
            <w:tcW w:w="3150" w:type="dxa"/>
            <w:shd w:val="clear" w:color="auto" w:fill="FFFFFF"/>
            <w:tcMar>
              <w:top w:w="105" w:type="dxa"/>
              <w:left w:w="125" w:type="dxa"/>
              <w:bottom w:w="105" w:type="dxa"/>
              <w:right w:w="125" w:type="dxa"/>
            </w:tcMar>
            <w:vAlign w:val="center"/>
          </w:tcPr>
          <w:p w14:paraId="7B429909" w14:textId="77777777" w:rsidR="00A849B5" w:rsidRDefault="00000000">
            <w:pPr>
              <w:jc w:val="center"/>
            </w:pPr>
            <w:r>
              <w:rPr>
                <w:rFonts w:ascii="Arial" w:hAnsi="Arial"/>
                <w:color w:val="262626"/>
                <w:sz w:val="16"/>
              </w:rPr>
              <w:t>Boundary-setting may be the immediate implementation priority</w:t>
            </w:r>
          </w:p>
        </w:tc>
        <w:tc>
          <w:tcPr>
            <w:tcW w:w="6300" w:type="dxa"/>
            <w:shd w:val="clear" w:color="auto" w:fill="FFFFFF"/>
            <w:tcMar>
              <w:top w:w="105" w:type="dxa"/>
              <w:left w:w="125" w:type="dxa"/>
              <w:bottom w:w="105" w:type="dxa"/>
              <w:right w:w="125" w:type="dxa"/>
            </w:tcMar>
            <w:vAlign w:val="center"/>
          </w:tcPr>
          <w:p w14:paraId="44F5DBE4" w14:textId="77777777" w:rsidR="00A849B5" w:rsidRDefault="00000000">
            <w:r>
              <w:rPr>
                <w:rFonts w:ascii="Arial" w:hAnsi="Arial"/>
                <w:color w:val="262626"/>
                <w:sz w:val="16"/>
              </w:rPr>
              <w:t>Prior evidence supports explicit rules, but I3 prioritizes G1-G2 because current courses may not tell students whether GenAI is allowed, to what extent, or with what consequences.</w:t>
            </w:r>
          </w:p>
        </w:tc>
        <w:tc>
          <w:tcPr>
            <w:tcW w:w="1900" w:type="dxa"/>
            <w:shd w:val="clear" w:color="auto" w:fill="FFFFFF"/>
            <w:tcMar>
              <w:top w:w="105" w:type="dxa"/>
              <w:left w:w="125" w:type="dxa"/>
              <w:bottom w:w="105" w:type="dxa"/>
              <w:right w:w="125" w:type="dxa"/>
            </w:tcMar>
            <w:vAlign w:val="center"/>
          </w:tcPr>
          <w:p w14:paraId="270189C7" w14:textId="77777777" w:rsidR="00A849B5" w:rsidRDefault="00000000">
            <w:r>
              <w:rPr>
                <w:rFonts w:ascii="Arial" w:hAnsi="Arial"/>
                <w:color w:val="262626"/>
                <w:sz w:val="16"/>
              </w:rPr>
              <w:t>14:57-16:29</w:t>
            </w:r>
          </w:p>
        </w:tc>
        <w:tc>
          <w:tcPr>
            <w:tcW w:w="3890" w:type="dxa"/>
            <w:shd w:val="clear" w:color="auto" w:fill="FFFFFF"/>
            <w:tcMar>
              <w:top w:w="105" w:type="dxa"/>
              <w:left w:w="125" w:type="dxa"/>
              <w:bottom w:w="105" w:type="dxa"/>
              <w:right w:w="125" w:type="dxa"/>
            </w:tcMar>
            <w:vAlign w:val="center"/>
          </w:tcPr>
          <w:p w14:paraId="010F69DE" w14:textId="77777777" w:rsidR="00A849B5" w:rsidRDefault="00000000">
            <w:r>
              <w:rPr>
                <w:rFonts w:ascii="Arial" w:hAnsi="Arial"/>
                <w:color w:val="262626"/>
                <w:sz w:val="16"/>
              </w:rPr>
              <w:t>Treat competence and task-level boundaries as the entry point for adoption, while testing this prioritization across later interviews. New prioritization; provisional.</w:t>
            </w:r>
          </w:p>
        </w:tc>
      </w:tr>
      <w:tr w:rsidR="00A849B5" w14:paraId="06A9EB9D" w14:textId="77777777">
        <w:trPr>
          <w:cantSplit/>
        </w:trPr>
        <w:tc>
          <w:tcPr>
            <w:tcW w:w="3150" w:type="dxa"/>
            <w:shd w:val="clear" w:color="auto" w:fill="F4F5F6"/>
            <w:tcMar>
              <w:top w:w="105" w:type="dxa"/>
              <w:left w:w="125" w:type="dxa"/>
              <w:bottom w:w="105" w:type="dxa"/>
              <w:right w:w="125" w:type="dxa"/>
            </w:tcMar>
            <w:vAlign w:val="center"/>
          </w:tcPr>
          <w:p w14:paraId="5B2A5B2D" w14:textId="77777777" w:rsidR="00A849B5" w:rsidRDefault="00000000">
            <w:pPr>
              <w:jc w:val="center"/>
            </w:pPr>
            <w:r>
              <w:rPr>
                <w:rFonts w:ascii="Arial" w:hAnsi="Arial"/>
                <w:color w:val="262626"/>
                <w:sz w:val="16"/>
              </w:rPr>
              <w:t>Simple canonical tasks may lose evidentiary value</w:t>
            </w:r>
          </w:p>
        </w:tc>
        <w:tc>
          <w:tcPr>
            <w:tcW w:w="6300" w:type="dxa"/>
            <w:shd w:val="clear" w:color="auto" w:fill="F4F5F6"/>
            <w:tcMar>
              <w:top w:w="105" w:type="dxa"/>
              <w:left w:w="125" w:type="dxa"/>
              <w:bottom w:w="105" w:type="dxa"/>
              <w:right w:w="125" w:type="dxa"/>
            </w:tcMar>
            <w:vAlign w:val="center"/>
          </w:tcPr>
          <w:p w14:paraId="02F8A910" w14:textId="77777777" w:rsidR="00A849B5" w:rsidRDefault="00000000">
            <w:r>
              <w:rPr>
                <w:rFonts w:ascii="Arial" w:hAnsi="Arial"/>
                <w:color w:val="262626"/>
                <w:sz w:val="16"/>
              </w:rPr>
              <w:t>The survey and SMS identify artifact substitution and adaptation need. I3 supplies a concrete mechanism: GenAI can implement elementary search or linked-list exercises well enough that completion no longer discriminates student competence.</w:t>
            </w:r>
          </w:p>
        </w:tc>
        <w:tc>
          <w:tcPr>
            <w:tcW w:w="1900" w:type="dxa"/>
            <w:shd w:val="clear" w:color="auto" w:fill="F4F5F6"/>
            <w:tcMar>
              <w:top w:w="105" w:type="dxa"/>
              <w:left w:w="125" w:type="dxa"/>
              <w:bottom w:w="105" w:type="dxa"/>
              <w:right w:w="125" w:type="dxa"/>
            </w:tcMar>
            <w:vAlign w:val="center"/>
          </w:tcPr>
          <w:p w14:paraId="187A8AE1" w14:textId="77777777" w:rsidR="00A849B5" w:rsidRDefault="00000000">
            <w:r>
              <w:rPr>
                <w:rFonts w:ascii="Arial" w:hAnsi="Arial"/>
                <w:color w:val="262626"/>
                <w:sz w:val="16"/>
              </w:rPr>
              <w:t>16:58-17:46</w:t>
            </w:r>
          </w:p>
        </w:tc>
        <w:tc>
          <w:tcPr>
            <w:tcW w:w="3890" w:type="dxa"/>
            <w:shd w:val="clear" w:color="auto" w:fill="F4F5F6"/>
            <w:tcMar>
              <w:top w:w="105" w:type="dxa"/>
              <w:left w:w="125" w:type="dxa"/>
              <w:bottom w:w="105" w:type="dxa"/>
              <w:right w:w="125" w:type="dxa"/>
            </w:tcMar>
            <w:vAlign w:val="center"/>
          </w:tcPr>
          <w:p w14:paraId="302E98D5" w14:textId="77777777" w:rsidR="00A849B5" w:rsidRDefault="00000000">
            <w:r>
              <w:rPr>
                <w:rFonts w:ascii="Arial" w:hAnsi="Arial"/>
                <w:color w:val="262626"/>
                <w:sz w:val="16"/>
              </w:rPr>
              <w:t>Revisit the construct and evidence for introductory implementation tasks rather than relying on the completed artifact alone. Task-obsolescence mechanism; provisional.</w:t>
            </w:r>
          </w:p>
        </w:tc>
      </w:tr>
    </w:tbl>
    <w:p w14:paraId="3FC09D68" w14:textId="77777777" w:rsidR="00A849B5" w:rsidRDefault="00A849B5">
      <w:pPr>
        <w:pStyle w:val="AnalysisBody"/>
      </w:pPr>
    </w:p>
    <w:sectPr w:rsidR="00A849B5">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CA7837"/>
    <w:multiLevelType w:val="hybridMultilevel"/>
    <w:tmpl w:val="37C61402"/>
    <w:lvl w:ilvl="0" w:tplc="EBC8FD2E">
      <w:start w:val="1"/>
      <w:numFmt w:val="bullet"/>
      <w:lvlText w:val="●"/>
      <w:lvlJc w:val="left"/>
      <w:pPr>
        <w:ind w:left="720" w:hanging="360"/>
      </w:pPr>
    </w:lvl>
    <w:lvl w:ilvl="1" w:tplc="65828A3C">
      <w:start w:val="1"/>
      <w:numFmt w:val="bullet"/>
      <w:lvlText w:val="○"/>
      <w:lvlJc w:val="left"/>
      <w:pPr>
        <w:ind w:left="1440" w:hanging="360"/>
      </w:pPr>
    </w:lvl>
    <w:lvl w:ilvl="2" w:tplc="9A7AB83A">
      <w:start w:val="1"/>
      <w:numFmt w:val="bullet"/>
      <w:lvlText w:val="■"/>
      <w:lvlJc w:val="left"/>
      <w:pPr>
        <w:ind w:left="2160" w:hanging="360"/>
      </w:pPr>
    </w:lvl>
    <w:lvl w:ilvl="3" w:tplc="127677E2">
      <w:start w:val="1"/>
      <w:numFmt w:val="bullet"/>
      <w:lvlText w:val="●"/>
      <w:lvlJc w:val="left"/>
      <w:pPr>
        <w:ind w:left="2880" w:hanging="360"/>
      </w:pPr>
    </w:lvl>
    <w:lvl w:ilvl="4" w:tplc="AB5A1916">
      <w:start w:val="1"/>
      <w:numFmt w:val="bullet"/>
      <w:lvlText w:val="○"/>
      <w:lvlJc w:val="left"/>
      <w:pPr>
        <w:ind w:left="3600" w:hanging="360"/>
      </w:pPr>
    </w:lvl>
    <w:lvl w:ilvl="5" w:tplc="ABC2AFBE">
      <w:start w:val="1"/>
      <w:numFmt w:val="bullet"/>
      <w:lvlText w:val="■"/>
      <w:lvlJc w:val="left"/>
      <w:pPr>
        <w:ind w:left="4320" w:hanging="360"/>
      </w:pPr>
    </w:lvl>
    <w:lvl w:ilvl="6" w:tplc="83DAE10C">
      <w:start w:val="1"/>
      <w:numFmt w:val="bullet"/>
      <w:lvlText w:val="●"/>
      <w:lvlJc w:val="left"/>
      <w:pPr>
        <w:ind w:left="5040" w:hanging="360"/>
      </w:pPr>
    </w:lvl>
    <w:lvl w:ilvl="7" w:tplc="25B6FA10">
      <w:start w:val="1"/>
      <w:numFmt w:val="bullet"/>
      <w:lvlText w:val="●"/>
      <w:lvlJc w:val="left"/>
      <w:pPr>
        <w:ind w:left="5760" w:hanging="360"/>
      </w:pPr>
    </w:lvl>
    <w:lvl w:ilvl="8" w:tplc="C400AE60">
      <w:start w:val="1"/>
      <w:numFmt w:val="bullet"/>
      <w:lvlText w:val="●"/>
      <w:lvlJc w:val="left"/>
      <w:pPr>
        <w:ind w:left="6480" w:hanging="360"/>
      </w:pPr>
    </w:lvl>
  </w:abstractNum>
  <w:num w:numId="1" w16cid:durableId="5360848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1D"/>
    <w:rsid w:val="0006191D"/>
    <w:rsid w:val="002205F6"/>
    <w:rsid w:val="0024694B"/>
    <w:rsid w:val="00376C8C"/>
    <w:rsid w:val="00A849B5"/>
    <w:rsid w:val="00FE3CA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7A27E13"/>
  <w15:docId w15:val="{F1BEB792-ADA5-1746-8D9F-1724B5C6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AnalysisHeading1">
    <w:name w:val="Analysis Heading 1"/>
    <w:basedOn w:val="Normal"/>
    <w:pPr>
      <w:keepNext/>
      <w:spacing w:before="200" w:after="140"/>
    </w:pPr>
    <w:rPr>
      <w:rFonts w:ascii="Arial" w:hAnsi="Arial"/>
      <w:b/>
      <w:color w:val="8B0D26"/>
      <w:sz w:val="32"/>
    </w:rPr>
  </w:style>
  <w:style w:type="paragraph" w:customStyle="1" w:styleId="AnalysisBody">
    <w:name w:val="Analysis Body"/>
    <w:basedOn w:val="Normal"/>
    <w:pPr>
      <w:spacing w:after="100" w:line="252" w:lineRule="auto"/>
    </w:pPr>
    <w:rPr>
      <w:rFonts w:ascii="Arial" w:hAnsi="Arial"/>
      <w:color w:val="262626"/>
      <w:sz w:val="19"/>
    </w:rPr>
  </w:style>
  <w:style w:type="paragraph" w:customStyle="1" w:styleId="AnalysisCaption">
    <w:name w:val="Analysis Caption"/>
    <w:basedOn w:val="Normal"/>
    <w:pPr>
      <w:keepNext/>
      <w:spacing w:before="40" w:after="80"/>
    </w:pPr>
    <w:rPr>
      <w:rFonts w:ascii="Arial" w:hAnsi="Arial"/>
      <w:b/>
      <w:color w:val="5E5E5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2355</Words>
  <Characters>13430</Characters>
  <Application>Microsoft Office Word</Application>
  <DocSecurity>0</DocSecurity>
  <Lines>111</Lines>
  <Paragraphs>31</Paragraphs>
  <ScaleCrop>false</ScaleCrop>
  <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Alessio Bucaioni</cp:lastModifiedBy>
  <cp:revision>3</cp:revision>
  <dcterms:created xsi:type="dcterms:W3CDTF">2026-08-13T18:38:00Z</dcterms:created>
  <dcterms:modified xsi:type="dcterms:W3CDTF">2026-09-21T12:34:00Z</dcterms:modified>
</cp:coreProperties>
</file>