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Mappings between notes principles families and values</w:t>
      </w:r>
    </w:p>
    <w:p>
      <w:pPr>
        <w:pStyle w:val="Heading1"/>
      </w:pPr>
      <w:r>
        <w:t>Notes actionable principles and principle families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268"/>
        <w:gridCol w:w="4139"/>
        <w:gridCol w:w="3572"/>
      </w:tblGrid>
      <w:tr>
        <w:trPr>
          <w:cantSplit/>
          <w:tblHeader/>
        </w:trPr>
        <w:tc>
          <w:tcPr>
            <w:tcW w:type="dxa" w:w="2268"/>
            <w:vAlign w:val="center"/>
            <w:shd w:fill="E9EDF0"/>
          </w:tcPr>
          <w:p>
            <w:pPr>
              <w:keepNext w:val="0"/>
              <w:spacing w:before="0" w:after="20" w:line="250" w:lineRule="auto"/>
            </w:pPr>
            <w:r>
              <w:rPr>
                <w:rFonts w:ascii="Arial" w:hAnsi="Arial"/>
                <w:b/>
                <w:color w:val="000000"/>
                <w:sz w:val="18"/>
              </w:rPr>
              <w:t>Family</w:t>
            </w:r>
          </w:p>
        </w:tc>
        <w:tc>
          <w:tcPr>
            <w:tcW w:type="dxa" w:w="4139"/>
            <w:vAlign w:val="center"/>
            <w:shd w:fill="E9EDF0"/>
          </w:tcPr>
          <w:p>
            <w:pPr>
              <w:keepNext w:val="0"/>
              <w:spacing w:before="0" w:after="20" w:line="250" w:lineRule="auto"/>
            </w:pPr>
            <w:r>
              <w:rPr>
                <w:rFonts w:ascii="Arial" w:hAnsi="Arial"/>
                <w:b/>
                <w:color w:val="000000"/>
                <w:sz w:val="18"/>
              </w:rPr>
              <w:t>Actionable principle</w:t>
            </w:r>
          </w:p>
        </w:tc>
        <w:tc>
          <w:tcPr>
            <w:tcW w:type="dxa" w:w="3572"/>
            <w:vAlign w:val="center"/>
            <w:shd w:fill="E9EDF0"/>
          </w:tcPr>
          <w:p>
            <w:pPr>
              <w:keepNext w:val="0"/>
              <w:spacing w:before="0" w:after="20" w:line="250" w:lineRule="auto"/>
            </w:pPr>
            <w:r>
              <w:rPr>
                <w:rFonts w:ascii="Arial" w:hAnsi="Arial"/>
                <w:b/>
                <w:color w:val="000000"/>
                <w:sz w:val="18"/>
              </w:rPr>
              <w:t>Note IDs</w:t>
            </w:r>
          </w:p>
        </w:tc>
      </w:tr>
      <w:tr>
        <w:trPr>
          <w:cantSplit/>
        </w:trPr>
        <w:tc>
          <w:tcPr>
            <w:tcW w:type="dxa" w:w="2268"/>
            <w:vAlign w:val="center"/>
          </w:tcPr>
          <w:p>
            <w:pPr>
              <w:keepNext w:val="0"/>
              <w:spacing w:before="0" w:after="20" w:line="250" w:lineRule="auto"/>
            </w:pPr>
            <w:r>
              <w:rPr>
                <w:rFonts w:ascii="Arial" w:hAnsi="Arial"/>
                <w:color w:val="000000"/>
                <w:sz w:val="18"/>
              </w:rPr>
              <w:t>Joint problem formulation</w:t>
            </w:r>
          </w:p>
        </w:tc>
        <w:tc>
          <w:tcPr>
            <w:tcW w:type="dxa" w:w="4139"/>
            <w:vAlign w:val="center"/>
          </w:tcPr>
          <w:p>
            <w:pPr>
              <w:keepNext w:val="0"/>
              <w:spacing w:before="0" w:after="20" w:line="250" w:lineRule="auto"/>
            </w:pPr>
            <w:r>
              <w:rPr>
                <w:rFonts w:ascii="Arial" w:hAnsi="Arial"/>
                <w:color w:val="000000"/>
                <w:sz w:val="18"/>
              </w:rPr>
              <w:t>Start collaboration by jointly defining the relevant problem, the affected context, and the intended use of the result.</w:t>
            </w:r>
          </w:p>
        </w:tc>
        <w:tc>
          <w:tcPr>
            <w:tcW w:type="dxa" w:w="3572"/>
            <w:vAlign w:val="center"/>
          </w:tcPr>
          <w:p>
            <w:pPr>
              <w:keepNext w:val="0"/>
              <w:spacing w:before="0" w:after="20" w:line="250" w:lineRule="auto"/>
            </w:pPr>
            <w:r>
              <w:rPr>
                <w:rFonts w:ascii="Arial" w:hAnsi="Arial"/>
                <w:color w:val="000000"/>
                <w:sz w:val="18"/>
              </w:rPr>
              <w:t>T1-S1-01, T1-S1-02, T1-S1-03, T1-S1-05, T1-S3-02, T1-S3-03, T1-S3-04, T1-S5-03, T1-S5-04, T1-S6-01</w:t>
            </w:r>
          </w:p>
        </w:tc>
      </w:tr>
      <w:tr>
        <w:trPr>
          <w:cantSplit/>
        </w:trPr>
        <w:tc>
          <w:tcPr>
            <w:tcW w:type="dxa" w:w="2268"/>
            <w:vAlign w:val="center"/>
          </w:tcPr>
          <w:p>
            <w:pPr>
              <w:keepNext w:val="0"/>
              <w:spacing w:before="0" w:after="20" w:line="250" w:lineRule="auto"/>
            </w:pPr>
            <w:r>
              <w:rPr>
                <w:rFonts w:ascii="Arial" w:hAnsi="Arial"/>
                <w:color w:val="000000"/>
                <w:sz w:val="18"/>
              </w:rPr>
              <w:t>State-of-practice/state-of-art gap analysis</w:t>
            </w:r>
          </w:p>
        </w:tc>
        <w:tc>
          <w:tcPr>
            <w:tcW w:type="dxa" w:w="4139"/>
            <w:vAlign w:val="center"/>
          </w:tcPr>
          <w:p>
            <w:pPr>
              <w:keepNext w:val="0"/>
              <w:spacing w:before="0" w:after="20" w:line="250" w:lineRule="auto"/>
            </w:pPr>
            <w:r>
              <w:rPr>
                <w:rFonts w:ascii="Arial" w:hAnsi="Arial"/>
                <w:color w:val="000000"/>
                <w:sz w:val="18"/>
              </w:rPr>
              <w:t>Determine relevance and originality by comparing current practice with current research.</w:t>
            </w:r>
          </w:p>
        </w:tc>
        <w:tc>
          <w:tcPr>
            <w:tcW w:type="dxa" w:w="3572"/>
            <w:vAlign w:val="center"/>
          </w:tcPr>
          <w:p>
            <w:pPr>
              <w:keepNext w:val="0"/>
              <w:spacing w:before="0" w:after="20" w:line="250" w:lineRule="auto"/>
            </w:pPr>
            <w:r>
              <w:rPr>
                <w:rFonts w:ascii="Arial" w:hAnsi="Arial"/>
                <w:color w:val="000000"/>
                <w:sz w:val="18"/>
              </w:rPr>
              <w:t>T1-S1-04, T1-S2-03, T1-S5-04, T1-S5-05, T1-S5-06</w:t>
            </w:r>
          </w:p>
        </w:tc>
      </w:tr>
      <w:tr>
        <w:trPr>
          <w:cantSplit/>
        </w:trPr>
        <w:tc>
          <w:tcPr>
            <w:tcW w:type="dxa" w:w="2268"/>
            <w:vAlign w:val="center"/>
          </w:tcPr>
          <w:p>
            <w:pPr>
              <w:keepNext w:val="0"/>
              <w:spacing w:before="0" w:after="20" w:line="250" w:lineRule="auto"/>
            </w:pPr>
            <w:r>
              <w:rPr>
                <w:rFonts w:ascii="Arial" w:hAnsi="Arial"/>
                <w:color w:val="000000"/>
                <w:sz w:val="18"/>
              </w:rPr>
              <w:t>Application before invention</w:t>
            </w:r>
          </w:p>
        </w:tc>
        <w:tc>
          <w:tcPr>
            <w:tcW w:type="dxa" w:w="4139"/>
            <w:vAlign w:val="center"/>
          </w:tcPr>
          <w:p>
            <w:pPr>
              <w:keepNext w:val="0"/>
              <w:spacing w:before="0" w:after="20" w:line="250" w:lineRule="auto"/>
            </w:pPr>
            <w:r>
              <w:rPr>
                <w:rFonts w:ascii="Arial" w:hAnsi="Arial"/>
                <w:color w:val="000000"/>
                <w:sz w:val="18"/>
              </w:rPr>
              <w:t>Prefer applying, adapting, refining, or replicating existing methods when this solves the relevant problem.</w:t>
            </w:r>
          </w:p>
        </w:tc>
        <w:tc>
          <w:tcPr>
            <w:tcW w:type="dxa" w:w="3572"/>
            <w:vAlign w:val="center"/>
          </w:tcPr>
          <w:p>
            <w:pPr>
              <w:keepNext w:val="0"/>
              <w:spacing w:before="0" w:after="20" w:line="250" w:lineRule="auto"/>
            </w:pPr>
            <w:r>
              <w:rPr>
                <w:rFonts w:ascii="Arial" w:hAnsi="Arial"/>
                <w:color w:val="000000"/>
                <w:sz w:val="18"/>
              </w:rPr>
              <w:t>T1-S2-01, T1-S2-02, T1-S2-03, T1-S2-04, T1-S5-02</w:t>
            </w:r>
          </w:p>
        </w:tc>
      </w:tr>
      <w:tr>
        <w:trPr>
          <w:cantSplit/>
        </w:trPr>
        <w:tc>
          <w:tcPr>
            <w:tcW w:type="dxa" w:w="2268"/>
            <w:vAlign w:val="center"/>
          </w:tcPr>
          <w:p>
            <w:pPr>
              <w:keepNext w:val="0"/>
              <w:spacing w:before="0" w:after="20" w:line="250" w:lineRule="auto"/>
            </w:pPr>
            <w:r>
              <w:rPr>
                <w:rFonts w:ascii="Arial" w:hAnsi="Arial"/>
                <w:color w:val="000000"/>
                <w:sz w:val="18"/>
              </w:rPr>
              <w:t>Rigour as risk reduction</w:t>
            </w:r>
          </w:p>
        </w:tc>
        <w:tc>
          <w:tcPr>
            <w:tcW w:type="dxa" w:w="4139"/>
            <w:vAlign w:val="center"/>
          </w:tcPr>
          <w:p>
            <w:pPr>
              <w:keepNext w:val="0"/>
              <w:spacing w:before="0" w:after="20" w:line="250" w:lineRule="auto"/>
            </w:pPr>
            <w:r>
              <w:rPr>
                <w:rFonts w:ascii="Arial" w:hAnsi="Arial"/>
                <w:color w:val="000000"/>
                <w:sz w:val="18"/>
              </w:rPr>
              <w:t>Design rigour as an evidence-building process that increases confidence in practically relevant results.</w:t>
            </w:r>
          </w:p>
        </w:tc>
        <w:tc>
          <w:tcPr>
            <w:tcW w:type="dxa" w:w="3572"/>
            <w:vAlign w:val="center"/>
          </w:tcPr>
          <w:p>
            <w:pPr>
              <w:keepNext w:val="0"/>
              <w:spacing w:before="0" w:after="20" w:line="250" w:lineRule="auto"/>
            </w:pPr>
            <w:r>
              <w:rPr>
                <w:rFonts w:ascii="Arial" w:hAnsi="Arial"/>
                <w:color w:val="000000"/>
                <w:sz w:val="18"/>
              </w:rPr>
              <w:t>T1-S1-02, T1-S2-03, T1-S2-04, T1-S6-02, T1-S6-03, T1-S6-04 (corroborating)</w:t>
            </w:r>
          </w:p>
        </w:tc>
      </w:tr>
      <w:tr>
        <w:trPr>
          <w:cantSplit/>
        </w:trPr>
        <w:tc>
          <w:tcPr>
            <w:tcW w:type="dxa" w:w="2268"/>
            <w:vAlign w:val="center"/>
          </w:tcPr>
          <w:p>
            <w:pPr>
              <w:keepNext w:val="0"/>
              <w:spacing w:before="0" w:after="20" w:line="250" w:lineRule="auto"/>
            </w:pPr>
            <w:r>
              <w:rPr>
                <w:rFonts w:ascii="Arial" w:hAnsi="Arial"/>
                <w:color w:val="000000"/>
                <w:sz w:val="18"/>
              </w:rPr>
              <w:t>Research autonomy with industrial input</w:t>
            </w:r>
          </w:p>
        </w:tc>
        <w:tc>
          <w:tcPr>
            <w:tcW w:type="dxa" w:w="4139"/>
            <w:vAlign w:val="center"/>
          </w:tcPr>
          <w:p>
            <w:pPr>
              <w:keepNext w:val="0"/>
              <w:spacing w:before="0" w:after="20" w:line="250" w:lineRule="auto"/>
            </w:pPr>
            <w:r>
              <w:rPr>
                <w:rFonts w:ascii="Arial" w:hAnsi="Arial"/>
                <w:color w:val="000000"/>
                <w:sz w:val="18"/>
              </w:rPr>
              <w:t>Let industry contribute problems, constraints, context, and data, while researchers retain responsibility for research design and theoretical framing.</w:t>
            </w:r>
          </w:p>
        </w:tc>
        <w:tc>
          <w:tcPr>
            <w:tcW w:type="dxa" w:w="3572"/>
            <w:vAlign w:val="center"/>
          </w:tcPr>
          <w:p>
            <w:pPr>
              <w:keepNext w:val="0"/>
              <w:spacing w:before="0" w:after="20" w:line="250" w:lineRule="auto"/>
            </w:pPr>
            <w:r>
              <w:rPr>
                <w:rFonts w:ascii="Arial" w:hAnsi="Arial"/>
                <w:color w:val="000000"/>
                <w:sz w:val="18"/>
              </w:rPr>
              <w:t>T1-S3-01, T1-S3-03, T1-S3-04</w:t>
            </w:r>
          </w:p>
        </w:tc>
      </w:tr>
      <w:tr>
        <w:trPr>
          <w:cantSplit/>
        </w:trPr>
        <w:tc>
          <w:tcPr>
            <w:tcW w:type="dxa" w:w="2268"/>
            <w:vAlign w:val="center"/>
          </w:tcPr>
          <w:p>
            <w:pPr>
              <w:keepNext w:val="0"/>
              <w:spacing w:before="0" w:after="20" w:line="250" w:lineRule="auto"/>
            </w:pPr>
            <w:r>
              <w:rPr>
                <w:rFonts w:ascii="Arial" w:hAnsi="Arial"/>
                <w:color w:val="000000"/>
                <w:sz w:val="18"/>
              </w:rPr>
              <w:t>Programmatic collaboration</w:t>
            </w:r>
          </w:p>
        </w:tc>
        <w:tc>
          <w:tcPr>
            <w:tcW w:type="dxa" w:w="4139"/>
            <w:vAlign w:val="center"/>
          </w:tcPr>
          <w:p>
            <w:pPr>
              <w:keepNext w:val="0"/>
              <w:spacing w:before="0" w:after="20" w:line="250" w:lineRule="auto"/>
            </w:pPr>
            <w:r>
              <w:rPr>
                <w:rFonts w:ascii="Arial" w:hAnsi="Arial"/>
                <w:color w:val="000000"/>
                <w:sz w:val="18"/>
              </w:rPr>
              <w:t>Organize work as a coordinated programme rather than disconnected paper-sized studies.</w:t>
            </w:r>
          </w:p>
        </w:tc>
        <w:tc>
          <w:tcPr>
            <w:tcW w:type="dxa" w:w="3572"/>
            <w:vAlign w:val="center"/>
          </w:tcPr>
          <w:p>
            <w:pPr>
              <w:keepNext w:val="0"/>
              <w:spacing w:before="0" w:after="20" w:line="250" w:lineRule="auto"/>
            </w:pPr>
            <w:r>
              <w:rPr>
                <w:rFonts w:ascii="Arial" w:hAnsi="Arial"/>
                <w:color w:val="000000"/>
                <w:sz w:val="18"/>
              </w:rPr>
              <w:t>T1-S3-03, T1-S3-07, T1-S4-01, T1-S4-04</w:t>
            </w:r>
          </w:p>
        </w:tc>
      </w:tr>
      <w:tr>
        <w:trPr>
          <w:cantSplit/>
        </w:trPr>
        <w:tc>
          <w:tcPr>
            <w:tcW w:type="dxa" w:w="2268"/>
            <w:vAlign w:val="center"/>
          </w:tcPr>
          <w:p>
            <w:pPr>
              <w:keepNext w:val="0"/>
              <w:spacing w:before="0" w:after="20" w:line="250" w:lineRule="auto"/>
            </w:pPr>
            <w:r>
              <w:rPr>
                <w:rFonts w:ascii="Arial" w:hAnsi="Arial"/>
                <w:color w:val="000000"/>
                <w:sz w:val="18"/>
              </w:rPr>
              <w:t>Broader contribution and incentive alignment</w:t>
            </w:r>
          </w:p>
        </w:tc>
        <w:tc>
          <w:tcPr>
            <w:tcW w:type="dxa" w:w="4139"/>
            <w:vAlign w:val="center"/>
          </w:tcPr>
          <w:p>
            <w:pPr>
              <w:keepNext w:val="0"/>
              <w:spacing w:before="0" w:after="20" w:line="250" w:lineRule="auto"/>
            </w:pPr>
            <w:r>
              <w:rPr>
                <w:rFonts w:ascii="Arial" w:hAnsi="Arial"/>
                <w:color w:val="000000"/>
                <w:sz w:val="18"/>
              </w:rPr>
              <w:t>Recognize practical and collaborative outputs alongside publications.</w:t>
            </w:r>
          </w:p>
        </w:tc>
        <w:tc>
          <w:tcPr>
            <w:tcW w:type="dxa" w:w="3572"/>
            <w:vAlign w:val="center"/>
          </w:tcPr>
          <w:p>
            <w:pPr>
              <w:keepNext w:val="0"/>
              <w:spacing w:before="0" w:after="20" w:line="250" w:lineRule="auto"/>
            </w:pPr>
            <w:r>
              <w:rPr>
                <w:rFonts w:ascii="Arial" w:hAnsi="Arial"/>
                <w:color w:val="000000"/>
                <w:sz w:val="18"/>
              </w:rPr>
              <w:t>T1-S4-01, T1-S4-02, T1-S4-03, T1-S4-04</w:t>
            </w:r>
          </w:p>
        </w:tc>
      </w:tr>
      <w:tr>
        <w:trPr>
          <w:cantSplit/>
        </w:trPr>
        <w:tc>
          <w:tcPr>
            <w:tcW w:type="dxa" w:w="2268"/>
            <w:vAlign w:val="center"/>
          </w:tcPr>
          <w:p>
            <w:pPr>
              <w:keepNext w:val="0"/>
              <w:spacing w:before="0" w:after="20" w:line="250" w:lineRule="auto"/>
            </w:pPr>
            <w:r>
              <w:rPr>
                <w:rFonts w:ascii="Arial" w:hAnsi="Arial"/>
                <w:color w:val="000000"/>
                <w:sz w:val="18"/>
              </w:rPr>
              <w:t>Safe knowledge sharing</w:t>
            </w:r>
          </w:p>
        </w:tc>
        <w:tc>
          <w:tcPr>
            <w:tcW w:type="dxa" w:w="4139"/>
            <w:vAlign w:val="center"/>
          </w:tcPr>
          <w:p>
            <w:pPr>
              <w:keepNext w:val="0"/>
              <w:spacing w:before="0" w:after="20" w:line="250" w:lineRule="auto"/>
            </w:pPr>
            <w:r>
              <w:rPr>
                <w:rFonts w:ascii="Arial" w:hAnsi="Arial"/>
                <w:color w:val="000000"/>
                <w:sz w:val="18"/>
              </w:rPr>
              <w:t>Create mechanisms for sharing reusable knowledge beyond single-company know-how.</w:t>
            </w:r>
          </w:p>
        </w:tc>
        <w:tc>
          <w:tcPr>
            <w:tcW w:type="dxa" w:w="3572"/>
            <w:vAlign w:val="center"/>
          </w:tcPr>
          <w:p>
            <w:pPr>
              <w:keepNext w:val="0"/>
              <w:spacing w:before="0" w:after="20" w:line="250" w:lineRule="auto"/>
            </w:pPr>
            <w:r>
              <w:rPr>
                <w:rFonts w:ascii="Arial" w:hAnsi="Arial"/>
                <w:color w:val="000000"/>
                <w:sz w:val="18"/>
              </w:rPr>
              <w:t>T1-S3-04, T1-S3-05, T1-S3-06, T1-S3-08</w:t>
            </w:r>
          </w:p>
        </w:tc>
      </w:tr>
    </w:tbl>
    <w:p>
      <w:pPr>
        <w:spacing w:after="40" w:before="0" w:line="40" w:lineRule="exact"/>
      </w:pPr>
    </w:p>
    <w:p>
      <w:pPr>
        <w:pStyle w:val="Heading1"/>
      </w:pPr>
      <w:r>
        <w:t>Manifesto statements and actionable principles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948"/>
        <w:gridCol w:w="7030"/>
      </w:tblGrid>
      <w:tr>
        <w:trPr>
          <w:cantSplit/>
          <w:tblHeader/>
        </w:trPr>
        <w:tc>
          <w:tcPr>
            <w:tcW w:type="dxa" w:w="2948"/>
            <w:vAlign w:val="center"/>
            <w:shd w:fill="E9EDF0"/>
          </w:tcPr>
          <w:p>
            <w:pPr>
              <w:keepNext w:val="0"/>
              <w:spacing w:before="0" w:after="20" w:line="250" w:lineRule="auto"/>
            </w:pPr>
            <w:r>
              <w:rPr>
                <w:rFonts w:ascii="Arial" w:hAnsi="Arial"/>
                <w:b/>
                <w:color w:val="000000"/>
                <w:sz w:val="18"/>
              </w:rPr>
              <w:t>Statement</w:t>
            </w:r>
          </w:p>
        </w:tc>
        <w:tc>
          <w:tcPr>
            <w:tcW w:type="dxa" w:w="7030"/>
            <w:vAlign w:val="center"/>
            <w:shd w:fill="E9EDF0"/>
          </w:tcPr>
          <w:p>
            <w:pPr>
              <w:keepNext w:val="0"/>
              <w:spacing w:before="0" w:after="20" w:line="250" w:lineRule="auto"/>
            </w:pPr>
            <w:r>
              <w:rPr>
                <w:rFonts w:ascii="Arial" w:hAnsi="Arial"/>
                <w:b/>
                <w:color w:val="000000"/>
                <w:sz w:val="18"/>
              </w:rPr>
              <w:t>Condensed Actionable Principle</w:t>
            </w:r>
          </w:p>
        </w:tc>
      </w:tr>
      <w:tr>
        <w:trPr>
          <w:cantSplit/>
        </w:trPr>
        <w:tc>
          <w:tcPr>
            <w:tcW w:type="dxa" w:w="2948"/>
            <w:vAlign w:val="center"/>
          </w:tcPr>
          <w:p>
            <w:pPr>
              <w:keepNext w:val="0"/>
              <w:spacing w:before="0" w:after="20" w:line="250" w:lineRule="auto"/>
            </w:pPr>
            <w:r>
              <w:rPr>
                <w:rFonts w:ascii="Arial" w:hAnsi="Arial"/>
                <w:color w:val="000000"/>
                <w:sz w:val="18"/>
              </w:rPr>
              <w:t>S1: Applied research over fundamental research</w:t>
            </w:r>
          </w:p>
        </w:tc>
        <w:tc>
          <w:tcPr>
            <w:tcW w:type="dxa" w:w="7030"/>
            <w:vAlign w:val="center"/>
          </w:tcPr>
          <w:p>
            <w:pPr>
              <w:keepNext w:val="0"/>
              <w:spacing w:before="0" w:after="20" w:line="250" w:lineRule="auto"/>
            </w:pPr>
            <w:r>
              <w:rPr>
                <w:rFonts w:ascii="Arial" w:hAnsi="Arial"/>
                <w:color w:val="000000"/>
                <w:sz w:val="18"/>
              </w:rPr>
              <w:t>Anchor applied research in a jointly defined practical problem while making the underlying knowledge contribution explicit. Use practice evidence and expected usability to shape the research question, study design, and dissemination venue.</w:t>
            </w:r>
          </w:p>
        </w:tc>
      </w:tr>
      <w:tr>
        <w:trPr>
          <w:cantSplit/>
        </w:trPr>
        <w:tc>
          <w:tcPr>
            <w:tcW w:type="dxa" w:w="2948"/>
            <w:vAlign w:val="center"/>
          </w:tcPr>
          <w:p>
            <w:pPr>
              <w:keepNext w:val="0"/>
              <w:spacing w:before="0" w:after="20" w:line="250" w:lineRule="auto"/>
            </w:pPr>
            <w:r>
              <w:rPr>
                <w:rFonts w:ascii="Arial" w:hAnsi="Arial"/>
                <w:color w:val="000000"/>
                <w:sz w:val="18"/>
              </w:rPr>
              <w:t>S2: Novel applications and refinement of existing methods over novel methods</w:t>
            </w:r>
          </w:p>
        </w:tc>
        <w:tc>
          <w:tcPr>
            <w:tcW w:type="dxa" w:w="7030"/>
            <w:vAlign w:val="center"/>
          </w:tcPr>
          <w:p>
            <w:pPr>
              <w:keepNext w:val="0"/>
              <w:spacing w:before="0" w:after="20" w:line="250" w:lineRule="auto"/>
            </w:pPr>
            <w:r>
              <w:rPr>
                <w:rFonts w:ascii="Arial" w:hAnsi="Arial"/>
                <w:color w:val="000000"/>
                <w:sz w:val="18"/>
              </w:rPr>
              <w:t>Treat method application, refinement, replication, and maturity-building as first-class contributions when they improve transferability or usefulness in practice.</w:t>
            </w:r>
          </w:p>
        </w:tc>
      </w:tr>
      <w:tr>
        <w:trPr>
          <w:cantSplit/>
        </w:trPr>
        <w:tc>
          <w:tcPr>
            <w:tcW w:type="dxa" w:w="2948"/>
            <w:vAlign w:val="center"/>
          </w:tcPr>
          <w:p>
            <w:pPr>
              <w:keepNext w:val="0"/>
              <w:spacing w:before="0" w:after="20" w:line="250" w:lineRule="auto"/>
            </w:pPr>
            <w:r>
              <w:rPr>
                <w:rFonts w:ascii="Arial" w:hAnsi="Arial"/>
                <w:color w:val="000000"/>
                <w:sz w:val="18"/>
              </w:rPr>
              <w:t>S3: Solutions to practically relevant problems over results for theoretically interesting and tractable problems</w:t>
            </w:r>
          </w:p>
        </w:tc>
        <w:tc>
          <w:tcPr>
            <w:tcW w:type="dxa" w:w="7030"/>
            <w:vAlign w:val="center"/>
          </w:tcPr>
          <w:p>
            <w:pPr>
              <w:keepNext w:val="0"/>
              <w:spacing w:before="0" w:after="20" w:line="250" w:lineRule="auto"/>
            </w:pPr>
            <w:r>
              <w:rPr>
                <w:rFonts w:ascii="Arial" w:hAnsi="Arial"/>
                <w:color w:val="000000"/>
                <w:sz w:val="18"/>
              </w:rPr>
              <w:t>Establish recurring academia-industry problem-brokering mechanisms where industry opens problems and constraints, and researchers turn them into rigorous, researchable, and solution-oriented studies.</w:t>
            </w:r>
          </w:p>
        </w:tc>
      </w:tr>
      <w:tr>
        <w:trPr>
          <w:cantSplit/>
        </w:trPr>
        <w:tc>
          <w:tcPr>
            <w:tcW w:type="dxa" w:w="2948"/>
            <w:vAlign w:val="center"/>
          </w:tcPr>
          <w:p>
            <w:pPr>
              <w:keepNext w:val="0"/>
              <w:spacing w:before="0" w:after="20" w:line="250" w:lineRule="auto"/>
            </w:pPr>
            <w:r>
              <w:rPr>
                <w:rFonts w:ascii="Arial" w:hAnsi="Arial"/>
                <w:color w:val="000000"/>
                <w:sz w:val="18"/>
              </w:rPr>
              <w:t>S4: Practical applications of knowledge over smallest publishable unit</w:t>
            </w:r>
          </w:p>
        </w:tc>
        <w:tc>
          <w:tcPr>
            <w:tcW w:type="dxa" w:w="7030"/>
            <w:vAlign w:val="center"/>
          </w:tcPr>
          <w:p>
            <w:pPr>
              <w:keepNext w:val="0"/>
              <w:spacing w:before="0" w:after="20" w:line="250" w:lineRule="auto"/>
            </w:pPr>
            <w:r>
              <w:rPr>
                <w:rFonts w:ascii="Arial" w:hAnsi="Arial"/>
                <w:color w:val="000000"/>
                <w:sz w:val="18"/>
              </w:rPr>
              <w:t>Structure collaborations around long-term practical goals and evaluate contributions by their cumulative practical value, not only by individual papers.</w:t>
            </w:r>
          </w:p>
        </w:tc>
      </w:tr>
      <w:tr>
        <w:trPr>
          <w:cantSplit/>
        </w:trPr>
        <w:tc>
          <w:tcPr>
            <w:tcW w:type="dxa" w:w="2948"/>
            <w:vAlign w:val="center"/>
          </w:tcPr>
          <w:p>
            <w:pPr>
              <w:keepNext w:val="0"/>
              <w:spacing w:before="0" w:after="20" w:line="250" w:lineRule="auto"/>
            </w:pPr>
            <w:r>
              <w:rPr>
                <w:rFonts w:ascii="Arial" w:hAnsi="Arial"/>
                <w:color w:val="000000"/>
                <w:sz w:val="18"/>
              </w:rPr>
              <w:t>S5: Relevance over originality</w:t>
            </w:r>
          </w:p>
        </w:tc>
        <w:tc>
          <w:tcPr>
            <w:tcW w:type="dxa" w:w="7030"/>
            <w:vAlign w:val="center"/>
          </w:tcPr>
          <w:p>
            <w:pPr>
              <w:keepNext w:val="0"/>
              <w:spacing w:before="0" w:after="20" w:line="250" w:lineRule="auto"/>
            </w:pPr>
            <w:r>
              <w:rPr>
                <w:rFonts w:ascii="Arial" w:hAnsi="Arial"/>
                <w:color w:val="000000"/>
                <w:sz w:val="18"/>
              </w:rPr>
              <w:t>Use joint gap analysis between state of practice and state of the art to decide how much originality is needed, and accept application or synthesis as valid originality when it addresses a relevant problem.</w:t>
            </w:r>
          </w:p>
        </w:tc>
      </w:tr>
      <w:tr>
        <w:trPr>
          <w:cantSplit/>
        </w:trPr>
        <w:tc>
          <w:tcPr>
            <w:tcW w:type="dxa" w:w="2948"/>
            <w:vAlign w:val="center"/>
          </w:tcPr>
          <w:p>
            <w:pPr>
              <w:keepNext w:val="0"/>
              <w:spacing w:before="0" w:after="20" w:line="250" w:lineRule="auto"/>
            </w:pPr>
            <w:r>
              <w:rPr>
                <w:rFonts w:ascii="Arial" w:hAnsi="Arial"/>
                <w:color w:val="000000"/>
                <w:sz w:val="18"/>
              </w:rPr>
              <w:t>S6: Relevance over rigour</w:t>
            </w:r>
          </w:p>
        </w:tc>
        <w:tc>
          <w:tcPr>
            <w:tcW w:type="dxa" w:w="7030"/>
            <w:vAlign w:val="center"/>
          </w:tcPr>
          <w:p>
            <w:pPr>
              <w:keepNext w:val="0"/>
              <w:spacing w:before="0" w:after="20" w:line="250" w:lineRule="auto"/>
            </w:pPr>
            <w:r>
              <w:rPr>
                <w:rFonts w:ascii="Arial" w:hAnsi="Arial"/>
                <w:color w:val="000000"/>
                <w:sz w:val="18"/>
              </w:rPr>
              <w:t>Co-define relevance and rigour criteria, then build rigour iteratively through transparent, validated, and practice-grounded evidence rather than treating relevance and rigour as opposites.</w:t>
            </w:r>
          </w:p>
        </w:tc>
      </w:tr>
    </w:tbl>
    <w:p>
      <w:pPr>
        <w:spacing w:after="40" w:before="0" w:line="40" w:lineRule="exact"/>
      </w:pPr>
    </w:p>
    <w:p>
      <w:pPr>
        <w:pStyle w:val="Heading1"/>
      </w:pPr>
      <w:r>
        <w:t>Notes and values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1984"/>
        <w:gridCol w:w="3061"/>
        <w:gridCol w:w="4932"/>
      </w:tblGrid>
      <w:tr>
        <w:trPr>
          <w:cantSplit/>
          <w:tblHeader/>
        </w:trPr>
        <w:tc>
          <w:tcPr>
            <w:tcW w:type="dxa" w:w="1984"/>
            <w:vAlign w:val="center"/>
            <w:shd w:fill="E9EDF0"/>
          </w:tcPr>
          <w:p>
            <w:pPr>
              <w:keepNext w:val="0"/>
              <w:spacing w:before="0" w:after="20" w:line="250" w:lineRule="auto"/>
            </w:pPr>
            <w:r>
              <w:rPr>
                <w:rFonts w:ascii="Arial" w:hAnsi="Arial"/>
                <w:b/>
                <w:color w:val="000000"/>
                <w:sz w:val="18"/>
              </w:rPr>
              <w:t>Value group</w:t>
            </w:r>
          </w:p>
        </w:tc>
        <w:tc>
          <w:tcPr>
            <w:tcW w:type="dxa" w:w="3061"/>
            <w:vAlign w:val="center"/>
            <w:shd w:fill="E9EDF0"/>
          </w:tcPr>
          <w:p>
            <w:pPr>
              <w:keepNext w:val="0"/>
              <w:spacing w:before="0" w:after="20" w:line="250" w:lineRule="auto"/>
            </w:pPr>
            <w:r>
              <w:rPr>
                <w:rFonts w:ascii="Arial" w:hAnsi="Arial"/>
                <w:b/>
                <w:color w:val="000000"/>
                <w:sz w:val="18"/>
              </w:rPr>
              <w:t>Value</w:t>
            </w:r>
          </w:p>
        </w:tc>
        <w:tc>
          <w:tcPr>
            <w:tcW w:type="dxa" w:w="4932"/>
            <w:vAlign w:val="center"/>
            <w:shd w:fill="E9EDF0"/>
          </w:tcPr>
          <w:p>
            <w:pPr>
              <w:keepNext w:val="0"/>
              <w:spacing w:before="0" w:after="20" w:line="250" w:lineRule="auto"/>
            </w:pPr>
            <w:r>
              <w:rPr>
                <w:rFonts w:ascii="Arial" w:hAnsi="Arial"/>
                <w:b/>
                <w:color w:val="000000"/>
                <w:sz w:val="18"/>
              </w:rPr>
              <w:t>Note IDs</w:t>
            </w:r>
          </w:p>
        </w:tc>
      </w:tr>
      <w:tr>
        <w:trPr>
          <w:cantSplit/>
        </w:trPr>
        <w:tc>
          <w:tcPr>
            <w:tcW w:type="dxa" w:w="1984"/>
            <w:vAlign w:val="center"/>
          </w:tcPr>
          <w:p>
            <w:pPr>
              <w:keepNext w:val="0"/>
              <w:spacing w:before="0" w:after="20" w:line="250" w:lineRule="auto"/>
            </w:pPr>
            <w:r>
              <w:rPr>
                <w:rFonts w:ascii="Arial" w:hAnsi="Arial"/>
                <w:color w:val="000000"/>
                <w:sz w:val="18"/>
              </w:rPr>
              <w:t>Shared</w:t>
            </w:r>
          </w:p>
        </w:tc>
        <w:tc>
          <w:tcPr>
            <w:tcW w:type="dxa" w:w="3061"/>
            <w:vAlign w:val="center"/>
          </w:tcPr>
          <w:p>
            <w:pPr>
              <w:keepNext w:val="0"/>
              <w:spacing w:before="0" w:after="20" w:line="250" w:lineRule="auto"/>
            </w:pPr>
            <w:r>
              <w:rPr>
                <w:rFonts w:ascii="Arial" w:hAnsi="Arial"/>
                <w:color w:val="000000"/>
                <w:sz w:val="18"/>
              </w:rPr>
              <w:t>Relevance</w:t>
            </w:r>
          </w:p>
        </w:tc>
        <w:tc>
          <w:tcPr>
            <w:tcW w:type="dxa" w:w="4932"/>
            <w:vAlign w:val="center"/>
          </w:tcPr>
          <w:p>
            <w:pPr>
              <w:keepNext w:val="0"/>
              <w:spacing w:before="0" w:after="20" w:line="250" w:lineRule="auto"/>
            </w:pPr>
            <w:r>
              <w:rPr>
                <w:rFonts w:ascii="Arial" w:hAnsi="Arial"/>
                <w:color w:val="000000"/>
                <w:sz w:val="18"/>
              </w:rPr>
              <w:t>T2-C-01, T2-C-02, T2-C-04, T2-V-01, T2-V-02</w:t>
            </w:r>
          </w:p>
        </w:tc>
      </w:tr>
      <w:tr>
        <w:trPr>
          <w:cantSplit/>
        </w:trPr>
        <w:tc>
          <w:tcPr>
            <w:tcW w:type="dxa" w:w="1984"/>
            <w:vAlign w:val="center"/>
          </w:tcPr>
          <w:p>
            <w:pPr>
              <w:keepNext w:val="0"/>
              <w:spacing w:before="0" w:after="20" w:line="250" w:lineRule="auto"/>
            </w:pPr>
            <w:r>
              <w:rPr>
                <w:rFonts w:ascii="Arial" w:hAnsi="Arial"/>
                <w:color w:val="000000"/>
                <w:sz w:val="18"/>
              </w:rPr>
              <w:t>Shared</w:t>
            </w:r>
          </w:p>
        </w:tc>
        <w:tc>
          <w:tcPr>
            <w:tcW w:type="dxa" w:w="3061"/>
            <w:vAlign w:val="center"/>
          </w:tcPr>
          <w:p>
            <w:pPr>
              <w:keepNext w:val="0"/>
              <w:spacing w:before="0" w:after="20" w:line="250" w:lineRule="auto"/>
            </w:pPr>
            <w:r>
              <w:rPr>
                <w:rFonts w:ascii="Arial" w:hAnsi="Arial"/>
                <w:color w:val="000000"/>
                <w:sz w:val="18"/>
              </w:rPr>
              <w:t>Rigour</w:t>
            </w:r>
          </w:p>
        </w:tc>
        <w:tc>
          <w:tcPr>
            <w:tcW w:type="dxa" w:w="4932"/>
            <w:vAlign w:val="center"/>
          </w:tcPr>
          <w:p>
            <w:pPr>
              <w:keepNext w:val="0"/>
              <w:spacing w:before="0" w:after="20" w:line="250" w:lineRule="auto"/>
            </w:pPr>
            <w:r>
              <w:rPr>
                <w:rFonts w:ascii="Arial" w:hAnsi="Arial"/>
                <w:color w:val="000000"/>
                <w:sz w:val="18"/>
              </w:rPr>
              <w:t>T2-C-01, T2-V-01, T2-A-06, T2-M-03, T2-P-09</w:t>
            </w:r>
          </w:p>
        </w:tc>
      </w:tr>
      <w:tr>
        <w:trPr>
          <w:cantSplit/>
        </w:trPr>
        <w:tc>
          <w:tcPr>
            <w:tcW w:type="dxa" w:w="1984"/>
            <w:vAlign w:val="center"/>
          </w:tcPr>
          <w:p>
            <w:pPr>
              <w:keepNext w:val="0"/>
              <w:spacing w:before="0" w:after="20" w:line="250" w:lineRule="auto"/>
            </w:pPr>
            <w:r>
              <w:rPr>
                <w:rFonts w:ascii="Arial" w:hAnsi="Arial"/>
                <w:color w:val="000000"/>
                <w:sz w:val="18"/>
              </w:rPr>
              <w:t>Shared</w:t>
            </w:r>
          </w:p>
        </w:tc>
        <w:tc>
          <w:tcPr>
            <w:tcW w:type="dxa" w:w="3061"/>
            <w:vAlign w:val="center"/>
          </w:tcPr>
          <w:p>
            <w:pPr>
              <w:keepNext w:val="0"/>
              <w:spacing w:before="0" w:after="20" w:line="250" w:lineRule="auto"/>
            </w:pPr>
            <w:r>
              <w:rPr>
                <w:rFonts w:ascii="Arial" w:hAnsi="Arial"/>
                <w:color w:val="000000"/>
                <w:sz w:val="18"/>
              </w:rPr>
              <w:t>Honesty</w:t>
            </w:r>
          </w:p>
        </w:tc>
        <w:tc>
          <w:tcPr>
            <w:tcW w:type="dxa" w:w="4932"/>
            <w:vAlign w:val="center"/>
          </w:tcPr>
          <w:p>
            <w:pPr>
              <w:keepNext w:val="0"/>
              <w:spacing w:before="0" w:after="20" w:line="250" w:lineRule="auto"/>
            </w:pPr>
            <w:r>
              <w:rPr>
                <w:rFonts w:ascii="Arial" w:hAnsi="Arial"/>
                <w:color w:val="000000"/>
                <w:sz w:val="18"/>
              </w:rPr>
              <w:t>T2-P-01, T2-P-02, T2-P-03</w:t>
            </w:r>
          </w:p>
        </w:tc>
      </w:tr>
      <w:tr>
        <w:trPr>
          <w:cantSplit/>
        </w:trPr>
        <w:tc>
          <w:tcPr>
            <w:tcW w:type="dxa" w:w="1984"/>
            <w:vAlign w:val="center"/>
          </w:tcPr>
          <w:p>
            <w:pPr>
              <w:keepNext w:val="0"/>
              <w:spacing w:before="0" w:after="20" w:line="250" w:lineRule="auto"/>
            </w:pPr>
            <w:r>
              <w:rPr>
                <w:rFonts w:ascii="Arial" w:hAnsi="Arial"/>
                <w:color w:val="000000"/>
                <w:sz w:val="18"/>
              </w:rPr>
              <w:t>Shared</w:t>
            </w:r>
          </w:p>
        </w:tc>
        <w:tc>
          <w:tcPr>
            <w:tcW w:type="dxa" w:w="3061"/>
            <w:vAlign w:val="center"/>
          </w:tcPr>
          <w:p>
            <w:pPr>
              <w:keepNext w:val="0"/>
              <w:spacing w:before="0" w:after="20" w:line="250" w:lineRule="auto"/>
            </w:pPr>
            <w:r>
              <w:rPr>
                <w:rFonts w:ascii="Arial" w:hAnsi="Arial"/>
                <w:color w:val="000000"/>
                <w:sz w:val="18"/>
              </w:rPr>
              <w:t>Openness</w:t>
            </w:r>
          </w:p>
        </w:tc>
        <w:tc>
          <w:tcPr>
            <w:tcW w:type="dxa" w:w="4932"/>
            <w:vAlign w:val="center"/>
          </w:tcPr>
          <w:p>
            <w:pPr>
              <w:keepNext w:val="0"/>
              <w:spacing w:before="0" w:after="20" w:line="250" w:lineRule="auto"/>
            </w:pPr>
            <w:r>
              <w:rPr>
                <w:rFonts w:ascii="Arial" w:hAnsi="Arial"/>
                <w:color w:val="000000"/>
                <w:sz w:val="18"/>
              </w:rPr>
              <w:t>T2-P-06</w:t>
            </w:r>
          </w:p>
        </w:tc>
      </w:tr>
      <w:tr>
        <w:trPr>
          <w:cantSplit/>
        </w:trPr>
        <w:tc>
          <w:tcPr>
            <w:tcW w:type="dxa" w:w="1984"/>
            <w:vAlign w:val="center"/>
          </w:tcPr>
          <w:p>
            <w:pPr>
              <w:keepNext w:val="0"/>
              <w:spacing w:before="0" w:after="20" w:line="250" w:lineRule="auto"/>
            </w:pPr>
            <w:r>
              <w:rPr>
                <w:rFonts w:ascii="Arial" w:hAnsi="Arial"/>
                <w:color w:val="000000"/>
                <w:sz w:val="18"/>
              </w:rPr>
              <w:t>Shared</w:t>
            </w:r>
          </w:p>
        </w:tc>
        <w:tc>
          <w:tcPr>
            <w:tcW w:type="dxa" w:w="3061"/>
            <w:vAlign w:val="center"/>
          </w:tcPr>
          <w:p>
            <w:pPr>
              <w:keepNext w:val="0"/>
              <w:spacing w:before="0" w:after="20" w:line="250" w:lineRule="auto"/>
            </w:pPr>
            <w:r>
              <w:rPr>
                <w:rFonts w:ascii="Arial" w:hAnsi="Arial"/>
                <w:color w:val="000000"/>
                <w:sz w:val="18"/>
              </w:rPr>
              <w:t>Trust</w:t>
            </w:r>
          </w:p>
        </w:tc>
        <w:tc>
          <w:tcPr>
            <w:tcW w:type="dxa" w:w="4932"/>
            <w:vAlign w:val="center"/>
          </w:tcPr>
          <w:p>
            <w:pPr>
              <w:keepNext w:val="0"/>
              <w:spacing w:before="0" w:after="20" w:line="250" w:lineRule="auto"/>
            </w:pPr>
            <w:r>
              <w:rPr>
                <w:rFonts w:ascii="Arial" w:hAnsi="Arial"/>
                <w:color w:val="000000"/>
                <w:sz w:val="18"/>
              </w:rPr>
              <w:t>T2-P-09</w:t>
            </w:r>
          </w:p>
        </w:tc>
      </w:tr>
      <w:tr>
        <w:trPr>
          <w:cantSplit/>
        </w:trPr>
        <w:tc>
          <w:tcPr>
            <w:tcW w:type="dxa" w:w="1984"/>
            <w:vAlign w:val="center"/>
          </w:tcPr>
          <w:p>
            <w:pPr>
              <w:keepNext w:val="0"/>
              <w:spacing w:before="0" w:after="20" w:line="250" w:lineRule="auto"/>
            </w:pPr>
            <w:r>
              <w:rPr>
                <w:rFonts w:ascii="Arial" w:hAnsi="Arial"/>
                <w:color w:val="000000"/>
                <w:sz w:val="18"/>
              </w:rPr>
              <w:t>Shared</w:t>
            </w:r>
          </w:p>
        </w:tc>
        <w:tc>
          <w:tcPr>
            <w:tcW w:type="dxa" w:w="3061"/>
            <w:vAlign w:val="center"/>
          </w:tcPr>
          <w:p>
            <w:pPr>
              <w:keepNext w:val="0"/>
              <w:spacing w:before="0" w:after="20" w:line="250" w:lineRule="auto"/>
            </w:pPr>
            <w:r>
              <w:rPr>
                <w:rFonts w:ascii="Arial" w:hAnsi="Arial"/>
                <w:color w:val="000000"/>
                <w:sz w:val="18"/>
              </w:rPr>
              <w:t>Respect</w:t>
            </w:r>
          </w:p>
        </w:tc>
        <w:tc>
          <w:tcPr>
            <w:tcW w:type="dxa" w:w="4932"/>
            <w:vAlign w:val="center"/>
          </w:tcPr>
          <w:p>
            <w:pPr>
              <w:keepNext w:val="0"/>
              <w:spacing w:before="0" w:after="20" w:line="250" w:lineRule="auto"/>
            </w:pPr>
            <w:r>
              <w:rPr>
                <w:rFonts w:ascii="Arial" w:hAnsi="Arial"/>
                <w:color w:val="000000"/>
                <w:sz w:val="18"/>
              </w:rPr>
              <w:t>T2-P-05, T2-P-09</w:t>
            </w:r>
          </w:p>
        </w:tc>
      </w:tr>
      <w:tr>
        <w:trPr>
          <w:cantSplit/>
        </w:trPr>
        <w:tc>
          <w:tcPr>
            <w:tcW w:type="dxa" w:w="1984"/>
            <w:vAlign w:val="center"/>
          </w:tcPr>
          <w:p>
            <w:pPr>
              <w:keepNext w:val="0"/>
              <w:spacing w:before="0" w:after="20" w:line="250" w:lineRule="auto"/>
            </w:pPr>
            <w:r>
              <w:rPr>
                <w:rFonts w:ascii="Arial" w:hAnsi="Arial"/>
                <w:color w:val="000000"/>
                <w:sz w:val="18"/>
              </w:rPr>
              <w:t>Shared</w:t>
            </w:r>
          </w:p>
        </w:tc>
        <w:tc>
          <w:tcPr>
            <w:tcW w:type="dxa" w:w="3061"/>
            <w:vAlign w:val="center"/>
          </w:tcPr>
          <w:p>
            <w:pPr>
              <w:keepNext w:val="0"/>
              <w:spacing w:before="0" w:after="20" w:line="250" w:lineRule="auto"/>
            </w:pPr>
            <w:r>
              <w:rPr>
                <w:rFonts w:ascii="Arial" w:hAnsi="Arial"/>
                <w:color w:val="000000"/>
                <w:sz w:val="18"/>
              </w:rPr>
              <w:t>Impact</w:t>
            </w:r>
          </w:p>
        </w:tc>
        <w:tc>
          <w:tcPr>
            <w:tcW w:type="dxa" w:w="4932"/>
            <w:vAlign w:val="center"/>
          </w:tcPr>
          <w:p>
            <w:pPr>
              <w:keepNext w:val="0"/>
              <w:spacing w:before="0" w:after="20" w:line="250" w:lineRule="auto"/>
            </w:pPr>
            <w:r>
              <w:rPr>
                <w:rFonts w:ascii="Arial" w:hAnsi="Arial"/>
                <w:color w:val="000000"/>
                <w:sz w:val="18"/>
              </w:rPr>
              <w:t>T2-M-14, T2-B-02, T2-R-02</w:t>
            </w:r>
          </w:p>
        </w:tc>
      </w:tr>
      <w:tr>
        <w:trPr>
          <w:cantSplit/>
        </w:trPr>
        <w:tc>
          <w:tcPr>
            <w:tcW w:type="dxa" w:w="1984"/>
            <w:vAlign w:val="center"/>
          </w:tcPr>
          <w:p>
            <w:pPr>
              <w:keepNext w:val="0"/>
              <w:spacing w:before="0" w:after="20" w:line="250" w:lineRule="auto"/>
            </w:pPr>
            <w:r>
              <w:rPr>
                <w:rFonts w:ascii="Arial" w:hAnsi="Arial"/>
                <w:color w:val="000000"/>
                <w:sz w:val="18"/>
              </w:rPr>
              <w:t>Shared</w:t>
            </w:r>
          </w:p>
        </w:tc>
        <w:tc>
          <w:tcPr>
            <w:tcW w:type="dxa" w:w="3061"/>
            <w:vAlign w:val="center"/>
          </w:tcPr>
          <w:p>
            <w:pPr>
              <w:keepNext w:val="0"/>
              <w:spacing w:before="0" w:after="20" w:line="250" w:lineRule="auto"/>
            </w:pPr>
            <w:r>
              <w:rPr>
                <w:rFonts w:ascii="Arial" w:hAnsi="Arial"/>
                <w:color w:val="000000"/>
                <w:sz w:val="18"/>
              </w:rPr>
              <w:t>Learning</w:t>
            </w:r>
          </w:p>
        </w:tc>
        <w:tc>
          <w:tcPr>
            <w:tcW w:type="dxa" w:w="4932"/>
            <w:vAlign w:val="center"/>
          </w:tcPr>
          <w:p>
            <w:pPr>
              <w:keepNext w:val="0"/>
              <w:spacing w:before="0" w:after="20" w:line="250" w:lineRule="auto"/>
            </w:pPr>
            <w:r>
              <w:rPr>
                <w:rFonts w:ascii="Arial" w:hAnsi="Arial"/>
                <w:color w:val="000000"/>
                <w:sz w:val="18"/>
              </w:rPr>
              <w:t>T2-R-03, T2-R-05 (corroborating)</w:t>
            </w:r>
          </w:p>
        </w:tc>
      </w:tr>
      <w:tr>
        <w:trPr>
          <w:cantSplit/>
        </w:trPr>
        <w:tc>
          <w:tcPr>
            <w:tcW w:type="dxa" w:w="1984"/>
            <w:vAlign w:val="center"/>
          </w:tcPr>
          <w:p>
            <w:pPr>
              <w:keepNext w:val="0"/>
              <w:spacing w:before="0" w:after="20" w:line="250" w:lineRule="auto"/>
            </w:pPr>
            <w:r>
              <w:rPr>
                <w:rFonts w:ascii="Arial" w:hAnsi="Arial"/>
                <w:color w:val="000000"/>
                <w:sz w:val="18"/>
              </w:rPr>
              <w:t>Academia-oriented</w:t>
            </w:r>
          </w:p>
        </w:tc>
        <w:tc>
          <w:tcPr>
            <w:tcW w:type="dxa" w:w="3061"/>
            <w:vAlign w:val="center"/>
          </w:tcPr>
          <w:p>
            <w:pPr>
              <w:keepNext w:val="0"/>
              <w:spacing w:before="0" w:after="20" w:line="250" w:lineRule="auto"/>
            </w:pPr>
            <w:r>
              <w:rPr>
                <w:rFonts w:ascii="Arial" w:hAnsi="Arial"/>
                <w:color w:val="000000"/>
                <w:sz w:val="18"/>
              </w:rPr>
              <w:t>Academic freedom</w:t>
            </w:r>
          </w:p>
        </w:tc>
        <w:tc>
          <w:tcPr>
            <w:tcW w:type="dxa" w:w="4932"/>
            <w:vAlign w:val="center"/>
          </w:tcPr>
          <w:p>
            <w:pPr>
              <w:keepNext w:val="0"/>
              <w:spacing w:before="0" w:after="20" w:line="250" w:lineRule="auto"/>
            </w:pPr>
            <w:r>
              <w:rPr>
                <w:rFonts w:ascii="Arial" w:hAnsi="Arial"/>
                <w:color w:val="000000"/>
                <w:sz w:val="18"/>
              </w:rPr>
              <w:t>T2-A-01, T2-R-01</w:t>
            </w:r>
          </w:p>
        </w:tc>
      </w:tr>
      <w:tr>
        <w:trPr>
          <w:cantSplit/>
        </w:trPr>
        <w:tc>
          <w:tcPr>
            <w:tcW w:type="dxa" w:w="1984"/>
            <w:vAlign w:val="center"/>
          </w:tcPr>
          <w:p>
            <w:pPr>
              <w:keepNext w:val="0"/>
              <w:spacing w:before="0" w:after="20" w:line="250" w:lineRule="auto"/>
            </w:pPr>
            <w:r>
              <w:rPr>
                <w:rFonts w:ascii="Arial" w:hAnsi="Arial"/>
                <w:color w:val="000000"/>
                <w:sz w:val="18"/>
              </w:rPr>
              <w:t>Academia-oriented</w:t>
            </w:r>
          </w:p>
        </w:tc>
        <w:tc>
          <w:tcPr>
            <w:tcW w:type="dxa" w:w="3061"/>
            <w:vAlign w:val="center"/>
          </w:tcPr>
          <w:p>
            <w:pPr>
              <w:keepNext w:val="0"/>
              <w:spacing w:before="0" w:after="20" w:line="250" w:lineRule="auto"/>
            </w:pPr>
            <w:r>
              <w:rPr>
                <w:rFonts w:ascii="Arial" w:hAnsi="Arial"/>
                <w:color w:val="000000"/>
                <w:sz w:val="18"/>
              </w:rPr>
              <w:t>Curiosity</w:t>
            </w:r>
          </w:p>
        </w:tc>
        <w:tc>
          <w:tcPr>
            <w:tcW w:type="dxa" w:w="4932"/>
            <w:vAlign w:val="center"/>
          </w:tcPr>
          <w:p>
            <w:pPr>
              <w:keepNext w:val="0"/>
              <w:spacing w:before="0" w:after="20" w:line="250" w:lineRule="auto"/>
            </w:pPr>
            <w:r>
              <w:rPr>
                <w:rFonts w:ascii="Arial" w:hAnsi="Arial"/>
                <w:color w:val="000000"/>
                <w:sz w:val="18"/>
              </w:rPr>
              <w:t>T2-A-06, T2-M-05</w:t>
            </w:r>
          </w:p>
        </w:tc>
      </w:tr>
      <w:tr>
        <w:trPr>
          <w:cantSplit/>
        </w:trPr>
        <w:tc>
          <w:tcPr>
            <w:tcW w:type="dxa" w:w="1984"/>
            <w:vAlign w:val="center"/>
          </w:tcPr>
          <w:p>
            <w:pPr>
              <w:keepNext w:val="0"/>
              <w:spacing w:before="0" w:after="20" w:line="250" w:lineRule="auto"/>
            </w:pPr>
            <w:r>
              <w:rPr>
                <w:rFonts w:ascii="Arial" w:hAnsi="Arial"/>
                <w:color w:val="000000"/>
                <w:sz w:val="18"/>
              </w:rPr>
              <w:t>Academia-oriented</w:t>
            </w:r>
          </w:p>
        </w:tc>
        <w:tc>
          <w:tcPr>
            <w:tcW w:type="dxa" w:w="3061"/>
            <w:vAlign w:val="center"/>
          </w:tcPr>
          <w:p>
            <w:pPr>
              <w:keepNext w:val="0"/>
              <w:spacing w:before="0" w:after="20" w:line="250" w:lineRule="auto"/>
            </w:pPr>
            <w:r>
              <w:rPr>
                <w:rFonts w:ascii="Arial" w:hAnsi="Arial"/>
                <w:color w:val="000000"/>
                <w:sz w:val="18"/>
              </w:rPr>
              <w:t>Quality time</w:t>
            </w:r>
          </w:p>
        </w:tc>
        <w:tc>
          <w:tcPr>
            <w:tcW w:type="dxa" w:w="4932"/>
            <w:vAlign w:val="center"/>
          </w:tcPr>
          <w:p>
            <w:pPr>
              <w:keepNext w:val="0"/>
              <w:spacing w:before="0" w:after="20" w:line="250" w:lineRule="auto"/>
            </w:pPr>
            <w:r>
              <w:rPr>
                <w:rFonts w:ascii="Arial" w:hAnsi="Arial"/>
                <w:color w:val="000000"/>
                <w:sz w:val="18"/>
              </w:rPr>
              <w:t>T2-P-04, T2-R-04</w:t>
            </w:r>
          </w:p>
        </w:tc>
      </w:tr>
      <w:tr>
        <w:trPr>
          <w:cantSplit/>
        </w:trPr>
        <w:tc>
          <w:tcPr>
            <w:tcW w:type="dxa" w:w="1984"/>
            <w:vAlign w:val="center"/>
          </w:tcPr>
          <w:p>
            <w:pPr>
              <w:keepNext w:val="0"/>
              <w:spacing w:before="0" w:after="20" w:line="250" w:lineRule="auto"/>
            </w:pPr>
            <w:r>
              <w:rPr>
                <w:rFonts w:ascii="Arial" w:hAnsi="Arial"/>
                <w:color w:val="000000"/>
                <w:sz w:val="18"/>
              </w:rPr>
              <w:t>Academia-oriented</w:t>
            </w:r>
          </w:p>
        </w:tc>
        <w:tc>
          <w:tcPr>
            <w:tcW w:type="dxa" w:w="3061"/>
            <w:vAlign w:val="center"/>
          </w:tcPr>
          <w:p>
            <w:pPr>
              <w:keepNext w:val="0"/>
              <w:spacing w:before="0" w:after="20" w:line="250" w:lineRule="auto"/>
            </w:pPr>
            <w:r>
              <w:rPr>
                <w:rFonts w:ascii="Arial" w:hAnsi="Arial"/>
                <w:color w:val="000000"/>
                <w:sz w:val="18"/>
              </w:rPr>
              <w:t>Knowledge contribution</w:t>
            </w:r>
          </w:p>
        </w:tc>
        <w:tc>
          <w:tcPr>
            <w:tcW w:type="dxa" w:w="4932"/>
            <w:vAlign w:val="center"/>
          </w:tcPr>
          <w:p>
            <w:pPr>
              <w:keepNext w:val="0"/>
              <w:spacing w:before="0" w:after="20" w:line="250" w:lineRule="auto"/>
            </w:pPr>
            <w:r>
              <w:rPr>
                <w:rFonts w:ascii="Arial" w:hAnsi="Arial"/>
                <w:color w:val="000000"/>
                <w:sz w:val="18"/>
              </w:rPr>
              <w:t>T2-A-06, T2-B-01, T2-R-01, T2-R-02, T2-R-04</w:t>
            </w:r>
          </w:p>
        </w:tc>
      </w:tr>
      <w:tr>
        <w:trPr>
          <w:cantSplit/>
        </w:trPr>
        <w:tc>
          <w:tcPr>
            <w:tcW w:type="dxa" w:w="1984"/>
            <w:vAlign w:val="center"/>
          </w:tcPr>
          <w:p>
            <w:pPr>
              <w:keepNext w:val="0"/>
              <w:spacing w:before="0" w:after="20" w:line="250" w:lineRule="auto"/>
            </w:pPr>
            <w:r>
              <w:rPr>
                <w:rFonts w:ascii="Arial" w:hAnsi="Arial"/>
                <w:color w:val="000000"/>
                <w:sz w:val="18"/>
              </w:rPr>
              <w:t>Academia-oriented</w:t>
            </w:r>
          </w:p>
        </w:tc>
        <w:tc>
          <w:tcPr>
            <w:tcW w:type="dxa" w:w="3061"/>
            <w:vAlign w:val="center"/>
          </w:tcPr>
          <w:p>
            <w:pPr>
              <w:keepNext w:val="0"/>
              <w:spacing w:before="0" w:after="20" w:line="250" w:lineRule="auto"/>
            </w:pPr>
            <w:r>
              <w:rPr>
                <w:rFonts w:ascii="Arial" w:hAnsi="Arial"/>
                <w:color w:val="000000"/>
                <w:sz w:val="18"/>
              </w:rPr>
              <w:t>Reputation and funding viability</w:t>
            </w:r>
          </w:p>
        </w:tc>
        <w:tc>
          <w:tcPr>
            <w:tcW w:type="dxa" w:w="4932"/>
            <w:vAlign w:val="center"/>
          </w:tcPr>
          <w:p>
            <w:pPr>
              <w:keepNext w:val="0"/>
              <w:spacing w:before="0" w:after="20" w:line="250" w:lineRule="auto"/>
            </w:pPr>
            <w:r>
              <w:rPr>
                <w:rFonts w:ascii="Arial" w:hAnsi="Arial"/>
                <w:color w:val="000000"/>
                <w:sz w:val="18"/>
              </w:rPr>
              <w:t>T2-A-02, T2-A-03, T2-A-04, T2-A-05, T2-B-01</w:t>
            </w:r>
          </w:p>
        </w:tc>
      </w:tr>
      <w:tr>
        <w:trPr>
          <w:cantSplit/>
        </w:trPr>
        <w:tc>
          <w:tcPr>
            <w:tcW w:type="dxa" w:w="1984"/>
            <w:vAlign w:val="center"/>
          </w:tcPr>
          <w:p>
            <w:pPr>
              <w:keepNext w:val="0"/>
              <w:spacing w:before="0" w:after="20" w:line="250" w:lineRule="auto"/>
            </w:pPr>
            <w:r>
              <w:rPr>
                <w:rFonts w:ascii="Arial" w:hAnsi="Arial"/>
                <w:color w:val="000000"/>
                <w:sz w:val="18"/>
              </w:rPr>
              <w:t>Academia-oriented</w:t>
            </w:r>
          </w:p>
        </w:tc>
        <w:tc>
          <w:tcPr>
            <w:tcW w:type="dxa" w:w="3061"/>
            <w:vAlign w:val="center"/>
          </w:tcPr>
          <w:p>
            <w:pPr>
              <w:keepNext w:val="0"/>
              <w:spacing w:before="0" w:after="20" w:line="250" w:lineRule="auto"/>
            </w:pPr>
            <w:r>
              <w:rPr>
                <w:rFonts w:ascii="Arial" w:hAnsi="Arial"/>
                <w:color w:val="000000"/>
                <w:sz w:val="18"/>
              </w:rPr>
              <w:t>Appreciation of negative results</w:t>
            </w:r>
          </w:p>
        </w:tc>
        <w:tc>
          <w:tcPr>
            <w:tcW w:type="dxa" w:w="4932"/>
            <w:vAlign w:val="center"/>
          </w:tcPr>
          <w:p>
            <w:pPr>
              <w:keepNext w:val="0"/>
              <w:spacing w:before="0" w:after="20" w:line="250" w:lineRule="auto"/>
            </w:pPr>
            <w:r>
              <w:rPr>
                <w:rFonts w:ascii="Arial" w:hAnsi="Arial"/>
                <w:color w:val="000000"/>
                <w:sz w:val="18"/>
              </w:rPr>
              <w:t>T2-R-03</w:t>
            </w:r>
          </w:p>
        </w:tc>
      </w:tr>
      <w:tr>
        <w:trPr>
          <w:cantSplit/>
        </w:trPr>
        <w:tc>
          <w:tcPr>
            <w:tcW w:type="dxa" w:w="1984"/>
            <w:vAlign w:val="center"/>
          </w:tcPr>
          <w:p>
            <w:pPr>
              <w:keepNext w:val="0"/>
              <w:spacing w:before="0" w:after="20" w:line="250" w:lineRule="auto"/>
            </w:pPr>
            <w:r>
              <w:rPr>
                <w:rFonts w:ascii="Arial" w:hAnsi="Arial"/>
                <w:color w:val="000000"/>
                <w:sz w:val="18"/>
              </w:rPr>
              <w:t>Industry-oriented</w:t>
            </w:r>
          </w:p>
        </w:tc>
        <w:tc>
          <w:tcPr>
            <w:tcW w:type="dxa" w:w="3061"/>
            <w:vAlign w:val="center"/>
          </w:tcPr>
          <w:p>
            <w:pPr>
              <w:keepNext w:val="0"/>
              <w:spacing w:before="0" w:after="20" w:line="250" w:lineRule="auto"/>
            </w:pPr>
            <w:r>
              <w:rPr>
                <w:rFonts w:ascii="Arial" w:hAnsi="Arial"/>
                <w:color w:val="000000"/>
                <w:sz w:val="18"/>
              </w:rPr>
              <w:t>Stakeholder value</w:t>
            </w:r>
          </w:p>
        </w:tc>
        <w:tc>
          <w:tcPr>
            <w:tcW w:type="dxa" w:w="4932"/>
            <w:vAlign w:val="center"/>
          </w:tcPr>
          <w:p>
            <w:pPr>
              <w:keepNext w:val="0"/>
              <w:spacing w:before="0" w:after="20" w:line="250" w:lineRule="auto"/>
            </w:pPr>
            <w:r>
              <w:rPr>
                <w:rFonts w:ascii="Arial" w:hAnsi="Arial"/>
                <w:color w:val="000000"/>
                <w:sz w:val="18"/>
              </w:rPr>
              <w:t>T2-I-01, T2-I-05, T2-B-02</w:t>
            </w:r>
          </w:p>
        </w:tc>
      </w:tr>
      <w:tr>
        <w:trPr>
          <w:cantSplit/>
        </w:trPr>
        <w:tc>
          <w:tcPr>
            <w:tcW w:type="dxa" w:w="1984"/>
            <w:vAlign w:val="center"/>
          </w:tcPr>
          <w:p>
            <w:pPr>
              <w:keepNext w:val="0"/>
              <w:spacing w:before="0" w:after="20" w:line="250" w:lineRule="auto"/>
            </w:pPr>
            <w:r>
              <w:rPr>
                <w:rFonts w:ascii="Arial" w:hAnsi="Arial"/>
                <w:color w:val="000000"/>
                <w:sz w:val="18"/>
              </w:rPr>
              <w:t>Industry-oriented</w:t>
            </w:r>
          </w:p>
        </w:tc>
        <w:tc>
          <w:tcPr>
            <w:tcW w:type="dxa" w:w="3061"/>
            <w:vAlign w:val="center"/>
          </w:tcPr>
          <w:p>
            <w:pPr>
              <w:keepNext w:val="0"/>
              <w:spacing w:before="0" w:after="20" w:line="250" w:lineRule="auto"/>
            </w:pPr>
            <w:r>
              <w:rPr>
                <w:rFonts w:ascii="Arial" w:hAnsi="Arial"/>
                <w:color w:val="000000"/>
                <w:sz w:val="18"/>
              </w:rPr>
              <w:t>Predictability</w:t>
            </w:r>
          </w:p>
        </w:tc>
        <w:tc>
          <w:tcPr>
            <w:tcW w:type="dxa" w:w="4932"/>
            <w:vAlign w:val="center"/>
          </w:tcPr>
          <w:p>
            <w:pPr>
              <w:keepNext w:val="0"/>
              <w:spacing w:before="0" w:after="20" w:line="250" w:lineRule="auto"/>
            </w:pPr>
            <w:r>
              <w:rPr>
                <w:rFonts w:ascii="Arial" w:hAnsi="Arial"/>
                <w:color w:val="000000"/>
                <w:sz w:val="18"/>
              </w:rPr>
              <w:t>T2-I-02, T2-I-06, T2-M-02, T2-M-10</w:t>
            </w:r>
          </w:p>
        </w:tc>
      </w:tr>
      <w:tr>
        <w:trPr>
          <w:cantSplit/>
        </w:trPr>
        <w:tc>
          <w:tcPr>
            <w:tcW w:type="dxa" w:w="1984"/>
            <w:vAlign w:val="center"/>
          </w:tcPr>
          <w:p>
            <w:pPr>
              <w:keepNext w:val="0"/>
              <w:spacing w:before="0" w:after="20" w:line="250" w:lineRule="auto"/>
            </w:pPr>
            <w:r>
              <w:rPr>
                <w:rFonts w:ascii="Arial" w:hAnsi="Arial"/>
                <w:color w:val="000000"/>
                <w:sz w:val="18"/>
              </w:rPr>
              <w:t>Industry-oriented</w:t>
            </w:r>
          </w:p>
        </w:tc>
        <w:tc>
          <w:tcPr>
            <w:tcW w:type="dxa" w:w="3061"/>
            <w:vAlign w:val="center"/>
          </w:tcPr>
          <w:p>
            <w:pPr>
              <w:keepNext w:val="0"/>
              <w:spacing w:before="0" w:after="20" w:line="250" w:lineRule="auto"/>
            </w:pPr>
            <w:r>
              <w:rPr>
                <w:rFonts w:ascii="Arial" w:hAnsi="Arial"/>
                <w:color w:val="000000"/>
                <w:sz w:val="18"/>
              </w:rPr>
              <w:t>Speed</w:t>
            </w:r>
          </w:p>
        </w:tc>
        <w:tc>
          <w:tcPr>
            <w:tcW w:type="dxa" w:w="4932"/>
            <w:vAlign w:val="center"/>
          </w:tcPr>
          <w:p>
            <w:pPr>
              <w:keepNext w:val="0"/>
              <w:spacing w:before="0" w:after="20" w:line="250" w:lineRule="auto"/>
            </w:pPr>
            <w:r>
              <w:rPr>
                <w:rFonts w:ascii="Arial" w:hAnsi="Arial"/>
                <w:color w:val="000000"/>
                <w:sz w:val="18"/>
              </w:rPr>
              <w:t>T2-I-04, T2-I-07, T2-M-09</w:t>
            </w:r>
          </w:p>
        </w:tc>
      </w:tr>
      <w:tr>
        <w:trPr>
          <w:cantSplit/>
        </w:trPr>
        <w:tc>
          <w:tcPr>
            <w:tcW w:type="dxa" w:w="1984"/>
            <w:vAlign w:val="center"/>
          </w:tcPr>
          <w:p>
            <w:pPr>
              <w:keepNext w:val="0"/>
              <w:spacing w:before="0" w:after="20" w:line="250" w:lineRule="auto"/>
            </w:pPr>
            <w:r>
              <w:rPr>
                <w:rFonts w:ascii="Arial" w:hAnsi="Arial"/>
                <w:color w:val="000000"/>
                <w:sz w:val="18"/>
              </w:rPr>
              <w:t>Industry-oriented</w:t>
            </w:r>
          </w:p>
        </w:tc>
        <w:tc>
          <w:tcPr>
            <w:tcW w:type="dxa" w:w="3061"/>
            <w:vAlign w:val="center"/>
          </w:tcPr>
          <w:p>
            <w:pPr>
              <w:keepNext w:val="0"/>
              <w:spacing w:before="0" w:after="20" w:line="250" w:lineRule="auto"/>
            </w:pPr>
            <w:r>
              <w:rPr>
                <w:rFonts w:ascii="Arial" w:hAnsi="Arial"/>
                <w:color w:val="000000"/>
                <w:sz w:val="18"/>
              </w:rPr>
              <w:t>Feasibility</w:t>
            </w:r>
          </w:p>
        </w:tc>
        <w:tc>
          <w:tcPr>
            <w:tcW w:type="dxa" w:w="4932"/>
            <w:vAlign w:val="center"/>
          </w:tcPr>
          <w:p>
            <w:pPr>
              <w:keepNext w:val="0"/>
              <w:spacing w:before="0" w:after="20" w:line="250" w:lineRule="auto"/>
            </w:pPr>
            <w:r>
              <w:rPr>
                <w:rFonts w:ascii="Arial" w:hAnsi="Arial"/>
                <w:color w:val="000000"/>
                <w:sz w:val="18"/>
              </w:rPr>
              <w:t>T2-C-04, T2-V-02</w:t>
            </w:r>
          </w:p>
        </w:tc>
      </w:tr>
      <w:tr>
        <w:trPr>
          <w:cantSplit/>
        </w:trPr>
        <w:tc>
          <w:tcPr>
            <w:tcW w:type="dxa" w:w="1984"/>
            <w:vAlign w:val="center"/>
          </w:tcPr>
          <w:p>
            <w:pPr>
              <w:keepNext w:val="0"/>
              <w:spacing w:before="0" w:after="20" w:line="250" w:lineRule="auto"/>
            </w:pPr>
            <w:r>
              <w:rPr>
                <w:rFonts w:ascii="Arial" w:hAnsi="Arial"/>
                <w:color w:val="000000"/>
                <w:sz w:val="18"/>
              </w:rPr>
              <w:t>Industry-oriented</w:t>
            </w:r>
          </w:p>
        </w:tc>
        <w:tc>
          <w:tcPr>
            <w:tcW w:type="dxa" w:w="3061"/>
            <w:vAlign w:val="center"/>
          </w:tcPr>
          <w:p>
            <w:pPr>
              <w:keepNext w:val="0"/>
              <w:spacing w:before="0" w:after="20" w:line="250" w:lineRule="auto"/>
            </w:pPr>
            <w:r>
              <w:rPr>
                <w:rFonts w:ascii="Arial" w:hAnsi="Arial"/>
                <w:color w:val="000000"/>
                <w:sz w:val="18"/>
              </w:rPr>
              <w:t>Problem solving</w:t>
            </w:r>
          </w:p>
        </w:tc>
        <w:tc>
          <w:tcPr>
            <w:tcW w:type="dxa" w:w="4932"/>
            <w:vAlign w:val="center"/>
          </w:tcPr>
          <w:p>
            <w:pPr>
              <w:keepNext w:val="0"/>
              <w:spacing w:before="0" w:after="20" w:line="250" w:lineRule="auto"/>
            </w:pPr>
            <w:r>
              <w:rPr>
                <w:rFonts w:ascii="Arial" w:hAnsi="Arial"/>
                <w:color w:val="000000"/>
                <w:sz w:val="18"/>
              </w:rPr>
              <w:t>T2-C-02, T2-P-07</w:t>
            </w:r>
          </w:p>
        </w:tc>
      </w:tr>
      <w:tr>
        <w:trPr>
          <w:cantSplit/>
        </w:trPr>
        <w:tc>
          <w:tcPr>
            <w:tcW w:type="dxa" w:w="1984"/>
            <w:vAlign w:val="center"/>
          </w:tcPr>
          <w:p>
            <w:pPr>
              <w:keepNext w:val="0"/>
              <w:spacing w:before="0" w:after="20" w:line="250" w:lineRule="auto"/>
            </w:pPr>
            <w:r>
              <w:rPr>
                <w:rFonts w:ascii="Arial" w:hAnsi="Arial"/>
                <w:color w:val="000000"/>
                <w:sz w:val="18"/>
              </w:rPr>
              <w:t>Industry-oriented</w:t>
            </w:r>
          </w:p>
        </w:tc>
        <w:tc>
          <w:tcPr>
            <w:tcW w:type="dxa" w:w="3061"/>
            <w:vAlign w:val="center"/>
          </w:tcPr>
          <w:p>
            <w:pPr>
              <w:keepNext w:val="0"/>
              <w:spacing w:before="0" w:after="20" w:line="250" w:lineRule="auto"/>
            </w:pPr>
            <w:r>
              <w:rPr>
                <w:rFonts w:ascii="Arial" w:hAnsi="Arial"/>
                <w:color w:val="000000"/>
                <w:sz w:val="18"/>
              </w:rPr>
              <w:t>Compliance</w:t>
            </w:r>
          </w:p>
        </w:tc>
        <w:tc>
          <w:tcPr>
            <w:tcW w:type="dxa" w:w="4932"/>
            <w:vAlign w:val="center"/>
          </w:tcPr>
          <w:p>
            <w:pPr>
              <w:keepNext w:val="0"/>
              <w:spacing w:before="0" w:after="20" w:line="250" w:lineRule="auto"/>
            </w:pPr>
            <w:r>
              <w:rPr>
                <w:rFonts w:ascii="Arial" w:hAnsi="Arial"/>
                <w:color w:val="000000"/>
                <w:sz w:val="18"/>
              </w:rPr>
              <w:t>T2-I-03</w:t>
            </w:r>
          </w:p>
        </w:tc>
      </w:tr>
      <w:tr>
        <w:trPr>
          <w:cantSplit/>
        </w:trPr>
        <w:tc>
          <w:tcPr>
            <w:tcW w:type="dxa" w:w="1984"/>
            <w:vAlign w:val="center"/>
          </w:tcPr>
          <w:p>
            <w:pPr>
              <w:keepNext w:val="0"/>
              <w:spacing w:before="0" w:after="20" w:line="250" w:lineRule="auto"/>
            </w:pPr>
            <w:r>
              <w:rPr>
                <w:rFonts w:ascii="Arial" w:hAnsi="Arial"/>
                <w:color w:val="000000"/>
                <w:sz w:val="18"/>
              </w:rPr>
              <w:t>Industry-oriented</w:t>
            </w:r>
          </w:p>
        </w:tc>
        <w:tc>
          <w:tcPr>
            <w:tcW w:type="dxa" w:w="3061"/>
            <w:vAlign w:val="center"/>
          </w:tcPr>
          <w:p>
            <w:pPr>
              <w:keepNext w:val="0"/>
              <w:spacing w:before="0" w:after="20" w:line="250" w:lineRule="auto"/>
            </w:pPr>
            <w:r>
              <w:rPr>
                <w:rFonts w:ascii="Arial" w:hAnsi="Arial"/>
                <w:color w:val="000000"/>
                <w:sz w:val="18"/>
              </w:rPr>
              <w:t>Measurability</w:t>
            </w:r>
          </w:p>
        </w:tc>
        <w:tc>
          <w:tcPr>
            <w:tcW w:type="dxa" w:w="4932"/>
            <w:vAlign w:val="center"/>
          </w:tcPr>
          <w:p>
            <w:pPr>
              <w:keepNext w:val="0"/>
              <w:spacing w:before="0" w:after="20" w:line="250" w:lineRule="auto"/>
            </w:pPr>
            <w:r>
              <w:rPr>
                <w:rFonts w:ascii="Arial" w:hAnsi="Arial"/>
                <w:color w:val="000000"/>
                <w:sz w:val="18"/>
              </w:rPr>
              <w:t>T2-M-06</w:t>
            </w:r>
          </w:p>
        </w:tc>
      </w:tr>
      <w:tr>
        <w:trPr>
          <w:cantSplit/>
        </w:trPr>
        <w:tc>
          <w:tcPr>
            <w:tcW w:type="dxa" w:w="1984"/>
            <w:vAlign w:val="center"/>
          </w:tcPr>
          <w:p>
            <w:pPr>
              <w:keepNext w:val="0"/>
              <w:spacing w:before="0" w:after="20" w:line="250" w:lineRule="auto"/>
            </w:pPr>
            <w:r>
              <w:rPr>
                <w:rFonts w:ascii="Arial" w:hAnsi="Arial"/>
                <w:color w:val="000000"/>
                <w:sz w:val="18"/>
              </w:rPr>
              <w:t>Industry-oriented</w:t>
            </w:r>
          </w:p>
        </w:tc>
        <w:tc>
          <w:tcPr>
            <w:tcW w:type="dxa" w:w="3061"/>
            <w:vAlign w:val="center"/>
          </w:tcPr>
          <w:p>
            <w:pPr>
              <w:keepNext w:val="0"/>
              <w:spacing w:before="0" w:after="20" w:line="250" w:lineRule="auto"/>
            </w:pPr>
            <w:r>
              <w:rPr>
                <w:rFonts w:ascii="Arial" w:hAnsi="Arial"/>
                <w:color w:val="000000"/>
                <w:sz w:val="18"/>
              </w:rPr>
              <w:t>Visibility</w:t>
            </w:r>
          </w:p>
        </w:tc>
        <w:tc>
          <w:tcPr>
            <w:tcW w:type="dxa" w:w="4932"/>
            <w:vAlign w:val="center"/>
          </w:tcPr>
          <w:p>
            <w:pPr>
              <w:keepNext w:val="0"/>
              <w:spacing w:before="0" w:after="20" w:line="250" w:lineRule="auto"/>
            </w:pPr>
            <w:r>
              <w:rPr>
                <w:rFonts w:ascii="Arial" w:hAnsi="Arial"/>
                <w:color w:val="000000"/>
                <w:sz w:val="18"/>
              </w:rPr>
              <w:t>T2-M-12</w:t>
            </w:r>
          </w:p>
        </w:tc>
      </w:tr>
    </w:tbl>
    <w:p>
      <w:pPr>
        <w:spacing w:after="40" w:before="0" w:line="40" w:lineRule="exact"/>
      </w:pPr>
    </w:p>
    <w:p>
      <w:pPr>
        <w:pStyle w:val="Heading1"/>
      </w:pPr>
      <w:r>
        <w:t>Notes and value groups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1984"/>
        <w:gridCol w:w="7994"/>
      </w:tblGrid>
      <w:tr>
        <w:trPr>
          <w:cantSplit/>
          <w:tblHeader/>
        </w:trPr>
        <w:tc>
          <w:tcPr>
            <w:tcW w:type="dxa" w:w="1984"/>
            <w:vAlign w:val="center"/>
            <w:shd w:fill="E9EDF0"/>
          </w:tcPr>
          <w:p>
            <w:pPr>
              <w:keepNext w:val="0"/>
              <w:spacing w:before="0" w:after="20" w:line="250" w:lineRule="auto"/>
            </w:pPr>
            <w:r>
              <w:rPr>
                <w:rFonts w:ascii="Arial" w:hAnsi="Arial"/>
                <w:b/>
                <w:color w:val="000000"/>
                <w:sz w:val="18"/>
              </w:rPr>
              <w:t>Value group</w:t>
            </w:r>
          </w:p>
        </w:tc>
        <w:tc>
          <w:tcPr>
            <w:tcW w:type="dxa" w:w="7994"/>
            <w:vAlign w:val="center"/>
            <w:shd w:fill="E9EDF0"/>
          </w:tcPr>
          <w:p>
            <w:pPr>
              <w:keepNext w:val="0"/>
              <w:spacing w:before="0" w:after="20" w:line="250" w:lineRule="auto"/>
            </w:pPr>
            <w:r>
              <w:rPr>
                <w:rFonts w:ascii="Arial" w:hAnsi="Arial"/>
                <w:b/>
                <w:color w:val="000000"/>
                <w:sz w:val="18"/>
              </w:rPr>
              <w:t>Note IDs</w:t>
            </w:r>
          </w:p>
        </w:tc>
      </w:tr>
      <w:tr>
        <w:trPr>
          <w:cantSplit/>
        </w:trPr>
        <w:tc>
          <w:tcPr>
            <w:tcW w:type="dxa" w:w="1984"/>
            <w:vAlign w:val="center"/>
          </w:tcPr>
          <w:p>
            <w:pPr>
              <w:keepNext w:val="0"/>
              <w:spacing w:before="0" w:after="20" w:line="250" w:lineRule="auto"/>
            </w:pPr>
            <w:r>
              <w:rPr>
                <w:rFonts w:ascii="Arial" w:hAnsi="Arial"/>
                <w:color w:val="000000"/>
                <w:sz w:val="18"/>
              </w:rPr>
              <w:t>Shared</w:t>
            </w:r>
          </w:p>
        </w:tc>
        <w:tc>
          <w:tcPr>
            <w:tcW w:type="dxa" w:w="7994"/>
            <w:vAlign w:val="center"/>
          </w:tcPr>
          <w:p>
            <w:pPr>
              <w:keepNext w:val="0"/>
              <w:spacing w:before="0" w:after="20" w:line="250" w:lineRule="auto"/>
            </w:pPr>
            <w:r>
              <w:rPr>
                <w:rFonts w:ascii="Arial" w:hAnsi="Arial"/>
                <w:color w:val="000000"/>
                <w:sz w:val="18"/>
              </w:rPr>
              <w:t>T2-C-01, T2-C-02, T2-C-04, T2-V-01, T2-V-02, T2-A-06, T2-P-01, T2-P-02, T2-P-03, T2-P-05, T2-P-06, T2-P-09, T2-M-03, T2-M-14, T2-B-02, T2-R-02, T2-R-03</w:t>
            </w:r>
          </w:p>
        </w:tc>
      </w:tr>
      <w:tr>
        <w:trPr>
          <w:cantSplit/>
        </w:trPr>
        <w:tc>
          <w:tcPr>
            <w:tcW w:type="dxa" w:w="1984"/>
            <w:vAlign w:val="center"/>
          </w:tcPr>
          <w:p>
            <w:pPr>
              <w:keepNext w:val="0"/>
              <w:spacing w:before="0" w:after="20" w:line="250" w:lineRule="auto"/>
            </w:pPr>
            <w:r>
              <w:rPr>
                <w:rFonts w:ascii="Arial" w:hAnsi="Arial"/>
                <w:color w:val="000000"/>
                <w:sz w:val="18"/>
              </w:rPr>
              <w:t>Academia-oriented</w:t>
            </w:r>
          </w:p>
        </w:tc>
        <w:tc>
          <w:tcPr>
            <w:tcW w:type="dxa" w:w="7994"/>
            <w:vAlign w:val="center"/>
          </w:tcPr>
          <w:p>
            <w:pPr>
              <w:keepNext w:val="0"/>
              <w:spacing w:before="0" w:after="20" w:line="250" w:lineRule="auto"/>
            </w:pPr>
            <w:r>
              <w:rPr>
                <w:rFonts w:ascii="Arial" w:hAnsi="Arial"/>
                <w:color w:val="000000"/>
                <w:sz w:val="18"/>
              </w:rPr>
              <w:t>T2-A-01, T2-A-02, T2-A-03, T2-A-04, T2-A-05, T2-A-06, T2-P-04, T2-P-08, T2-B-01, T2-R-01, T2-R-03, T2-R-04</w:t>
            </w:r>
          </w:p>
        </w:tc>
      </w:tr>
      <w:tr>
        <w:trPr>
          <w:cantSplit/>
        </w:trPr>
        <w:tc>
          <w:tcPr>
            <w:tcW w:type="dxa" w:w="1984"/>
            <w:vAlign w:val="center"/>
          </w:tcPr>
          <w:p>
            <w:pPr>
              <w:keepNext w:val="0"/>
              <w:spacing w:before="0" w:after="20" w:line="250" w:lineRule="auto"/>
            </w:pPr>
            <w:r>
              <w:rPr>
                <w:rFonts w:ascii="Arial" w:hAnsi="Arial"/>
                <w:color w:val="000000"/>
                <w:sz w:val="18"/>
              </w:rPr>
              <w:t>Industry-oriented</w:t>
            </w:r>
          </w:p>
        </w:tc>
        <w:tc>
          <w:tcPr>
            <w:tcW w:type="dxa" w:w="7994"/>
            <w:vAlign w:val="center"/>
          </w:tcPr>
          <w:p>
            <w:pPr>
              <w:keepNext w:val="0"/>
              <w:spacing w:before="0" w:after="20" w:line="250" w:lineRule="auto"/>
            </w:pPr>
            <w:r>
              <w:rPr>
                <w:rFonts w:ascii="Arial" w:hAnsi="Arial"/>
                <w:color w:val="000000"/>
                <w:sz w:val="18"/>
              </w:rPr>
              <w:t>T2-C-02, T2-C-04, T2-V-02, T2-I-01, T2-I-02, T2-I-03, T2-I-04, T2-I-05, T2-I-06, T2-I-07, T2-P-07, T2-M-01, T2-M-02, T2-M-06, T2-M-09, T2-M-10, T2-M-12, T2-B-02</w:t>
            </w:r>
          </w:p>
        </w:tc>
      </w:tr>
    </w:tbl>
    <w:p>
      <w:pPr>
        <w:spacing w:after="40" w:before="0" w:line="40" w:lineRule="exact"/>
      </w:pPr>
    </w:p>
    <w:sectPr w:rsidR="00FC693F" w:rsidRPr="0006063C" w:rsidSect="00034616">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8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259"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line="259" w:lineRule="auto"/>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40" w:after="100" w:line="25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59"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9" w:lineRule="auto" w:after="80"/>
      <w:contextualSpacing/>
    </w:pPr>
    <w:rPr>
      <w:rFonts w:ascii="Arial" w:hAnsi="Arial"/>
      <w:color w:val="000000"/>
      <w:sz w:val="21"/>
    </w:rPr>
  </w:style>
  <w:style w:type="paragraph" w:styleId="ListBullet2">
    <w:name w:val="List Bullet 2"/>
    <w:basedOn w:val="Normal"/>
    <w:uiPriority w:val="99"/>
    <w:unhideWhenUsed/>
    <w:rsid w:val="00326F90"/>
    <w:pPr>
      <w:numPr>
        <w:numId w:val="2"/>
      </w:numPr>
      <w:spacing w:line="259" w:lineRule="auto" w:after="80"/>
      <w:contextualSpacing/>
    </w:pPr>
    <w:rPr>
      <w:rFonts w:ascii="Arial" w:hAnsi="Arial"/>
      <w:color w:val="00000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9" w:lineRule="auto" w:after="80"/>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Mappings between notes principles families and values</dc:title>
  <dc:subject/>
  <dc:creator/>
  <cp:keywords/>
  <dc:description/>
  <cp:lastModifiedBy/>
  <cp:revision>1</cp:revision>
  <dcterms:created xsi:type="dcterms:W3CDTF">2013-12-23T23:15:00Z</dcterms:created>
  <dcterms:modified xsi:type="dcterms:W3CDTF">2013-12-23T23:15:00Z</dcterms:modified>
  <cp:category/>
</cp:coreProperties>
</file>