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9</w:t>
      </w:r>
    </w:p>
    <w:p>
      <w:pPr>
        <w:spacing w:after="90"/>
        <w:ind w:left="300"/>
      </w:pPr>
      <w:r>
        <w:t xml:space="preserve">3.1. Class Diagram — VOPC (Analysis)</w:t>
        <w:ptab w:alignment="right" w:relativeTo="margin" w:leader="dot"/>
        <w:t xml:space="preserve">9</w:t>
      </w:r>
    </w:p>
    <w:p>
      <w:pPr>
        <w:spacing w:after="90"/>
        <w:ind w:left="300"/>
      </w:pPr>
      <w:r>
        <w:t xml:space="preserve">3.2. Class Diagram — Design Level</w:t>
        <w:ptab w:alignment="right" w:relativeTo="margin" w:leader="dot"/>
        <w:t xml:space="preserve">14</w:t>
      </w:r>
    </w:p>
    <w:p>
      <w:pPr>
        <w:spacing w:after="90"/>
        <w:ind w:left="300"/>
      </w:pPr>
      <w:r>
        <w:t xml:space="preserve">3.3. Design Patterns</w:t>
        <w:ptab w:alignment="right" w:relativeTo="margin" w:leader="dot"/>
        <w:t xml:space="preserve">15</w:t>
      </w:r>
    </w:p>
    <w:p>
      <w:pPr>
        <w:spacing w:after="90"/>
        <w:ind w:left="300"/>
      </w:pPr>
      <w:r>
        <w:t xml:space="preserve">3.4. Activity Diagram</w:t>
        <w:ptab w:alignment="right" w:relativeTo="margin" w:leader="dot"/>
        <w:t xml:space="preserve">16</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18</w:t>
      </w:r>
    </w:p>
    <w:p>
      <w:pPr>
        <w:spacing w:after="90"/>
        <w:ind w:left="0"/>
      </w:pPr>
      <w:r>
        <w:t xml:space="preserve">4. TESTING</w:t>
        <w:ptab w:alignment="right" w:relativeTo="margin" w:leader="dot"/>
        <w:t xml:space="preserve">19</w:t>
      </w:r>
    </w:p>
    <w:p>
      <w:pPr>
        <w:spacing w:after="90"/>
        <w:ind w:left="0"/>
      </w:pPr>
      <w:r>
        <w:t xml:space="preserve">5. EXCEPTIONS</w:t>
        <w:ptab w:alignment="right" w:relativeTo="margin" w:leader="dot"/>
        <w:t xml:space="preserve">20</w:t>
      </w:r>
    </w:p>
    <w:p>
      <w:pPr>
        <w:spacing w:after="90"/>
        <w:ind w:left="0"/>
      </w:pPr>
      <w:r>
        <w:t xml:space="preserve">6. DATABASES</w:t>
        <w:ptab w:alignment="right" w:relativeTo="margin" w:leader="dot"/>
        <w:t xml:space="preserve">22</w:t>
      </w:r>
    </w:p>
    <w:p>
      <w:pPr>
        <w:spacing w:after="90"/>
        <w:ind w:left="0"/>
      </w:pPr>
      <w:r>
        <w:t xml:space="preserve">7. SONARCLOUD</w:t>
        <w:ptab w:alignment="right" w:relativeTo="margin" w:leader="dot"/>
        <w:t xml:space="preserve">23</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CSV file system or H2 relational database, selectable at startup with -Duniride.persistence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 and that the date is a real calendar date (dd/MM/yyyy) that is not in the past.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pStyle w:val="ListParagraph"/>
        <w:numPr>
          <w:ilvl w:val="0"/>
          <w:numId w:val="1"/>
        </w:numPr>
        <w:spacing w:after="80"/>
      </w:pPr>
      <w:r>
        <w:t xml:space="preserve">3e. The date is missing, is not a real calendar date, or is already in the past: the system rejects the input with the message 'La data del passaggio è obbligatoria.', 'Data non valida: usa il formato gg/mm/aaaa (es. 15/03/2027).' or 'Non si può offrire un passaggio in una data già passata.' respectively.</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605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057608"/>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ProfileBean)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The Boundaries never access it directly: the data they need about the logged-in student (name and home location) are exposed by LoginController.getLoggedUserProfile() as a ProfileBean, which, unlike the Student entity, carries no password.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value from Config (resolved once at startup from the uniride.persistence system property, In-Memory by default)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discarded after a failed write, so that it is reloaded from the file, which remains the source of truth),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61232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123214"/>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ManageRidesController registers a PassengerBookingObserver for each booking before cancelling the ride, while the observer registered at request time is a simple lambda that only logs the event).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setting (the uniride.persistence system property),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 The static RideState.fromStatus(String) method, shared by the File System and SQL DAOs, rebuilds the concrete state from the label stored on disk, logging any unrecognized value instead of silently ignoring it.</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When the driver cancels a ride, ManageRidesController attaches a PassengerBookingObserver for every booking on that ride: the notification sent by Ride.cancel() moves each booking to CANCELLED, so the passenger no longer sees it as pending or confirmed, and the Controller persists the bookings only after the ride itself has been saved. The observers are recreated on every call, because the list of subscribers lives only in memory and is not persisted by the DAOs, whereas the bookings are. The Observer registered when a seat is requested remains a lambda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rejection, or automatic expiration if no response arrives within 24 hours:</w:t>
      </w:r>
    </w:p>
    <w:p>
      <w:pPr>
        <w:spacing w:after="80" w:before="200"/>
        <w:jc w:val="center"/>
      </w:pPr>
      <w:r>
        <w:drawing>
          <wp:inline distT="0" distB="0" distL="0" distR="0">
            <wp:extent cx="5213563" cy="850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13563" cy="8500000"/>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notifications to the passenger and to the driver (Observer Pattern) are both modeled as asynchronous calls.</w:t>
      </w:r>
    </w:p>
    <w:p>
      <w:pPr>
        <w:spacing w:after="80" w:before="200"/>
        <w:jc w:val="center"/>
      </w:pPr>
      <w:r>
        <w:drawing>
          <wp:inline distT="0" distB="0" distL="0" distR="0">
            <wp:extent cx="5715000" cy="390719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907194"/>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r>
        <w:tc>
          <w:tcPr>
            <w:tcW w:type="pct" w:w="35%"/>
            <w:tcMar>
              <w:top w:type="dxa" w:w="80"/>
              <w:left w:type="dxa" w:w="120"/>
              <w:bottom w:type="dxa" w:w="80"/>
              <w:right w:type="dxa" w:w="120"/>
            </w:tcMar>
            <w:vAlign w:val="center"/>
          </w:tcPr>
          <w:p>
            <w:r>
              <w:rPr>
                <w:b w:val="false"/>
                <w:bCs w:val="false"/>
                <w:sz w:val="20"/>
                <w:szCs w:val="20"/>
              </w:rPr>
              <w:t xml:space="preserve">PasswordHasherTest</w:t>
            </w:r>
          </w:p>
        </w:tc>
        <w:tc>
          <w:tcPr>
            <w:tcW w:type="pct" w:w="65%"/>
            <w:tcMar>
              <w:top w:type="dxa" w:w="80"/>
              <w:left w:type="dxa" w:w="120"/>
              <w:bottom w:type="dxa" w:w="80"/>
              <w:right w:type="dxa" w:w="120"/>
            </w:tcMar>
            <w:vAlign w:val="center"/>
          </w:tcPr>
          <w:p>
            <w:r>
              <w:rPr>
                <w:b w:val="false"/>
                <w:bCs w:val="false"/>
                <w:sz w:val="20"/>
                <w:szCs w:val="20"/>
              </w:rPr>
              <w:t xml:space="preserve">a password verifies only against its own PBKDF2 hash; two hashes of the same password differ (random salt); the legacy format is still accepted and corrupted values are rejected; the demo user can log in</w:t>
            </w:r>
          </w:p>
        </w:tc>
      </w:tr>
      <w:tr>
        <w:tc>
          <w:tcPr>
            <w:tcW w:type="pct" w:w="35%"/>
            <w:tcMar>
              <w:top w:type="dxa" w:w="80"/>
              <w:left w:type="dxa" w:w="120"/>
              <w:bottom w:type="dxa" w:w="80"/>
              <w:right w:type="dxa" w:w="120"/>
            </w:tcMar>
            <w:vAlign w:val="center"/>
          </w:tcPr>
          <w:p>
            <w:r>
              <w:rPr>
                <w:b w:val="false"/>
                <w:bCs w:val="false"/>
                <w:sz w:val="20"/>
                <w:szCs w:val="20"/>
              </w:rPr>
              <w:t xml:space="preserve">CompensationTest</w:t>
            </w:r>
          </w:p>
        </w:tc>
        <w:tc>
          <w:tcPr>
            <w:tcW w:type="pct" w:w="65%"/>
            <w:tcMar>
              <w:top w:type="dxa" w:w="80"/>
              <w:left w:type="dxa" w:w="120"/>
              <w:bottom w:type="dxa" w:w="80"/>
              <w:right w:type="dxa" w:w="120"/>
            </w:tcMar>
            <w:vAlign w:val="center"/>
          </w:tcPr>
          <w:p>
            <w:r>
              <w:rPr>
                <w:b w:val="false"/>
                <w:bCs w:val="false"/>
                <w:sz w:val="20"/>
                <w:szCs w:val="20"/>
              </w:rPr>
              <w:t xml:space="preserve">with a simulated failure of the BookingDAO, a booking request does not consume the seat: the change already written to the Ride is undone</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section 7).</w:t>
      </w:r>
    </w:p>
    <w:p>
      <w:pPr>
        <w:pStyle w:val="Heading1"/>
        <w:spacing w:after="160" w:before="360"/>
      </w:pPr>
      <w:r>
        <w:t xml:space="preserve">5. EXCEPTIONS</w:t>
      </w:r>
    </w:p>
    <w:p>
      <w:pPr>
        <w:spacing w:after="160"/>
      </w:pPr>
      <w:r>
        <w:t xml:space="preserve">In exception handling, the system adopts a single consistent approach across all application Controllers.</w:t>
      </w:r>
    </w:p>
    <w:p>
      <w:pPr>
        <w:spacing w:after="160"/>
      </w:pPr>
      <w:r>
        <w:rPr>
          <w:b/>
          <w:bCs/>
        </w:rPr>
        <w:t xml:space="preserve">Validation and Domain Exceptions</w:t>
      </w:r>
    </w:p>
    <w:p>
      <w:pPr>
        <w:spacing w:after="160"/>
      </w:pPr>
      <w:r>
        <w:t xml:space="preserve">Each Controller method declares a dedicated checked exception (RideActionException, RideNotFoundException, UserNotAuthorizedException, UserNotFoundException) with a descriptive message in Italian — the application's actual UI language — which the Boundary catches and displays as an inline red label in the GUI or as an error line on the console in the CLI. The exception is therefore not simply propagated: it is handled entirely by the layer that owns the user interaction. The messages currently defined are as follows:</w:t>
      </w:r>
    </w:p>
    <w:p>
      <w:pPr>
        <w:pStyle w:val="ListParagraph"/>
        <w:numPr>
          <w:ilvl w:val="0"/>
          <w:numId w:val="1"/>
        </w:numPr>
        <w:spacing w:after="80"/>
      </w:pPr>
      <w:r>
        <w:t xml:space="preserve">"Utente non loggato!" / "Utente non loggato! Accesso Negato alle funzioni dell'App." — no active session.</w:t>
      </w:r>
    </w:p>
    <w:p>
      <w:pPr>
        <w:pStyle w:val="ListParagraph"/>
        <w:numPr>
          <w:ilvl w:val="0"/>
          <w:numId w:val="1"/>
        </w:numPr>
        <w:spacing w:after="80"/>
      </w:pPr>
      <w:r>
        <w:t xml:space="preserve">"Username già in uso!" — duplicate username during registration.</w:t>
      </w:r>
    </w:p>
    <w:p>
      <w:pPr>
        <w:pStyle w:val="ListParagraph"/>
        <w:numPr>
          <w:ilvl w:val="0"/>
          <w:numId w:val="1"/>
        </w:numPr>
        <w:spacing w:after="80"/>
      </w:pPr>
      <w:r>
        <w:t xml:space="preserve">"La password deve essere di almeno 6 caratteri." — password too short during registration.</w:t>
      </w:r>
    </w:p>
    <w:p>
      <w:pPr>
        <w:pStyle w:val="ListParagraph"/>
        <w:numPr>
          <w:ilvl w:val="0"/>
          <w:numId w:val="1"/>
        </w:numPr>
        <w:spacing w:after="80"/>
      </w:pPr>
      <w:r>
        <w:t xml:space="preserve">"Numero di telefono non valido: usa solo cifre, spazi ed eventualmente un + iniziale." — implausible phone format during registration (optional field, validated only if filled in).</w:t>
      </w:r>
    </w:p>
    <w:p>
      <w:pPr>
        <w:pStyle w:val="ListParagraph"/>
        <w:numPr>
          <w:ilvl w:val="0"/>
          <w:numId w:val="1"/>
        </w:numPr>
        <w:spacing w:after="80"/>
      </w:pPr>
      <w:r>
        <w:t xml:space="preserve">"Partenza e destinazione sono obbligatorie." / "Partenza e destinazione non possono coincidere." — Offri Passaggio form validation.</w:t>
      </w:r>
    </w:p>
    <w:p>
      <w:pPr>
        <w:pStyle w:val="ListParagraph"/>
        <w:numPr>
          <w:ilvl w:val="0"/>
          <w:numId w:val="1"/>
        </w:numPr>
        <w:spacing w:after="80"/>
      </w:pPr>
      <w:r>
        <w:t xml:space="preserve">"Il numero di posti deve essere maggiore di zero." / "Il costo base non può essere negativo." — numeric validation of the Offri Passaggio form.</w:t>
      </w:r>
    </w:p>
    <w:p>
      <w:pPr>
        <w:pStyle w:val="ListParagraph"/>
        <w:numPr>
          <w:ilvl w:val="0"/>
          <w:numId w:val="1"/>
        </w:numPr>
        <w:spacing w:after="80"/>
      </w:pPr>
      <w:r>
        <w:t xml:space="preserve">"Inserisci un orario di partenza valido (formato HH:mm, es. 08:30)." — departure time missing or badly formatted in the Offri Passaggio form.</w:t>
      </w:r>
    </w:p>
    <w:p>
      <w:pPr>
        <w:pStyle w:val="ListParagraph"/>
        <w:numPr>
          <w:ilvl w:val="0"/>
          <w:numId w:val="1"/>
        </w:numPr>
        <w:spacing w:after="80"/>
      </w:pPr>
      <w:r>
        <w:t xml:space="preserve">"Non puoi prenotare un posto sul passaggio che hai offerto tu stesso." — a driver attempted to book their own ride.</w:t>
      </w:r>
    </w:p>
    <w:p>
      <w:pPr>
        <w:pStyle w:val="ListParagraph"/>
        <w:numPr>
          <w:ilvl w:val="0"/>
          <w:numId w:val="1"/>
        </w:numPr>
        <w:spacing w:after="80"/>
      </w:pPr>
      <w:r>
        <w:t xml:space="preserve">"Hai già una richiesta attiva per questa corsa." — duplicate request on the same ride.</w:t>
      </w:r>
    </w:p>
    <w:p>
      <w:pPr>
        <w:pStyle w:val="ListParagraph"/>
        <w:numPr>
          <w:ilvl w:val="0"/>
          <w:numId w:val="1"/>
        </w:numPr>
        <w:spacing w:after="80"/>
      </w:pPr>
      <w:r>
        <w:t xml:space="preserve">"Passaggio non trovato! Forse è già stato eliminato." / "Corsa inesistente." — id not present in the store.</w:t>
      </w:r>
    </w:p>
    <w:p>
      <w:pPr>
        <w:pStyle w:val="ListParagraph"/>
        <w:numPr>
          <w:ilvl w:val="0"/>
          <w:numId w:val="1"/>
        </w:numPr>
        <w:spacing w:after="80"/>
      </w:pPr>
      <w:r>
        <w:t xml:space="preserve">"Richiesta di prenotazione non trovata." / "Richiesta già gestita in precedenza." — driver actions on a Booking that does not exist or is already closed.</w:t>
      </w:r>
    </w:p>
    <w:p>
      <w:pPr>
        <w:pStyle w:val="ListParagraph"/>
        <w:numPr>
          <w:ilvl w:val="0"/>
          <w:numId w:val="1"/>
        </w:numPr>
        <w:spacing w:after="80"/>
      </w:pPr>
      <w:r>
        <w:t xml:space="preserve">"Non sei il conducente di questa corsa." — an action reserved for the driver was attempted by another user.</w:t>
      </w:r>
    </w:p>
    <w:p>
      <w:pPr>
        <w:pStyle w:val="ListParagraph"/>
        <w:numPr>
          <w:ilvl w:val="0"/>
          <w:numId w:val="1"/>
        </w:numPr>
        <w:spacing w:after="80"/>
      </w:pPr>
      <w:r>
        <w:t xml:space="preserve">"Non sei prenotato a questa corsa." — cancellation of a non-existent booking.</w:t>
      </w:r>
    </w:p>
    <w:p>
      <w:pPr>
        <w:pStyle w:val="ListParagraph"/>
        <w:numPr>
          <w:ilvl w:val="0"/>
          <w:numId w:val="1"/>
        </w:numPr>
        <w:spacing w:after="80"/>
      </w:pPr>
      <w:r>
        <w:t xml:space="preserve">"La corsa è già stata completata o annullata." — completion/cancellation on a state that is already terminal.</w:t>
      </w:r>
    </w:p>
    <w:p>
      <w:pPr>
        <w:pStyle w:val="ListParagraph"/>
        <w:numPr>
          <w:ilvl w:val="0"/>
          <w:numId w:val="1"/>
        </w:numPr>
        <w:spacing w:after="80"/>
      </w:pPr>
      <w:r>
        <w:t xml:space="preserve">"Impossibile cancellare il posto in questo momento (logica di Stato)." — rollback not allowed by the State Pattern.</w:t>
      </w:r>
    </w:p>
    <w:p>
      <w:pPr>
        <w:pStyle w:val="ListParagraph"/>
        <w:numPr>
          <w:ilvl w:val="0"/>
          <w:numId w:val="1"/>
        </w:numPr>
        <w:spacing w:after="80"/>
      </w:pPr>
      <w:r>
        <w:t xml:space="preserve">"Username non valido: 3-50 caratteri fra lettere, cifre, punto, trattino e underscore." / "Il nome completo è obbligatorio (massimo 100 caratteri)." — registration field validation (the username is trimmed both at registration and at login).</w:t>
      </w:r>
    </w:p>
    <w:p>
      <w:pPr>
        <w:pStyle w:val="ListParagraph"/>
        <w:numPr>
          <w:ilvl w:val="0"/>
          <w:numId w:val="1"/>
        </w:numPr>
        <w:spacing w:after="80"/>
      </w:pPr>
      <w:r>
        <w:t xml:space="preserve">"Nome e posizione non possono contenere virgole." / "Partenza e destinazione non possono contenere virgole." — the comma is the CSV field separator.</w:t>
      </w:r>
    </w:p>
    <w:p>
      <w:pPr>
        <w:pStyle w:val="ListParagraph"/>
        <w:numPr>
          <w:ilvl w:val="0"/>
          <w:numId w:val="1"/>
        </w:numPr>
        <w:spacing w:after="80"/>
      </w:pPr>
      <w:r>
        <w:t xml:space="preserve">"La data del passaggio è obbligatoria." / "Data non valida: usa il formato gg/mm/aaaa (es. 15/03/2027)." / "Non si può offrire un passaggio in una data già passata." — date validation in the Offri Passaggio form.</w:t>
      </w:r>
    </w:p>
    <w:p>
      <w:pPr>
        <w:pStyle w:val="ListParagraph"/>
        <w:numPr>
          <w:ilvl w:val="0"/>
          <w:numId w:val="1"/>
        </w:numPr>
        <w:spacing w:after="80"/>
      </w:pPr>
      <w:r>
        <w:t xml:space="preserve">"Questa corsa non è più prenotabile: è stata annullata o completata." — booking attempted on a ride in a terminal state (a full ride is instead reported as 'Posti esauriti!').</w:t>
      </w:r>
    </w:p>
    <w:p>
      <w:pPr>
        <w:spacing w:after="160"/>
      </w:pPr>
      <w:r>
        <w:rPr>
          <w:b/>
          <w:bCs/>
        </w:rPr>
        <w:t xml:space="preserve">Infrastructure Exceptions</w:t>
      </w:r>
    </w:p>
    <w:p>
      <w:pPr>
        <w:spacing w:after="160"/>
      </w:pPr>
      <w:r>
        <w:t xml:space="preserve">The second type of handling is less about catching and re-throwing the exception to higher layers, and more about implementing the correct behavior when one of the attempted operations fails. Every DAO wraps its IOException or SQLException in the unchecked PersistenceException, after logging it with LoggerCustom, with a message meant for the user that the Boundary displays: a failed save is therefore never reported as successful, and a database that cannot be reached is not mistaken for wrong credentials or an empty result. On a read error the File System DAOs keep the previous cache instead of replacing it with partial data, which would otherwise erase the unread rows from disk at the next write; a single corrupted CSV line is skipped and logged with its line number. JdbcRideDAO rolls its transactions back explicitly. When a booking flow writes both the Ride and the Booking and the second write fails, the Controller undoes the first one (compensating action), so a seat is never left occupied without a booking. Finally, any other unexpected exception is logged with its stack trace and shown to the user as a generic message (ErrorMessages.forUser), never as a raw technical message.</w:t>
      </w:r>
    </w:p>
    <w:p>
      <w:pPr>
        <w:pStyle w:val="Heading1"/>
        <w:spacing w:after="160" w:before="360"/>
      </w:pPr>
      <w:r>
        <w:t xml:space="preserve">6. DATABASES</w:t>
      </w:r>
    </w:p>
    <w:p>
      <w:pPr>
        <w:spacing w:after="160"/>
      </w:pPr>
      <w:r>
        <w:t xml:space="preserve">The system offers three types of data storage, selectable at startup without recompiling, through the uniride.persistence system property (for example java -Duniride.persistence=SQL ...), read into the PERSISTENCE_TYPE field of the com.ispw.uniride.config.Config class; when the property is absent or not recognized, In-Memory mode is used.</w:t>
      </w:r>
    </w:p>
    <w:p>
      <w:pPr>
        <w:pStyle w:val="Heading2"/>
        <w:spacing w:after="120" w:before="280"/>
      </w:pPr>
      <w:r>
        <w:t xml:space="preserve">6.1. In-Memory (default)</w:t>
      </w:r>
    </w:p>
    <w:p>
      <w:pPr>
        <w:spacing w:after="160"/>
      </w:pPr>
      <w:r>
        <w:t xml:space="preserve">In in-memory mode the application offers all the supported features, but all data resides exclusively in RAM and nothing is written to any persistence layer. Three HashMaps (students, rides, bookings), held inside the MemoryStorage Singleton, keep the entities indexed by identifier, guaranteeing constant-time access. When the application shuts down, all data is lost. This mode requires no configuration and is the one used by the entire JUnit test suite. Two demo users (mario.rossi and luigi.verdi, password 'password', stored like every other password as a PBKDF2 hash) are preloaded with an example location already set.</w:t>
      </w:r>
    </w:p>
    <w:p>
      <w:pPr>
        <w:pStyle w:val="Heading2"/>
        <w:spacing w:after="120" w:before="280"/>
      </w:pPr>
      <w:r>
        <w:t xml:space="preserve">6.2. File System</w:t>
      </w:r>
    </w:p>
    <w:p>
      <w:pPr>
        <w:spacing w:after="160"/>
      </w:pPr>
      <w:r>
        <w:t xml:space="preserve">In file-system mode the same features are available, but data is persisted to the local file system in CSV format, in the project's root folder. The file layout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Content</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(PBKDF2 hash), fullName, homeLocation (optional), phoneNumber (optional)</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Each Fs*DAO provides thread-safe access through a dedicated explicit lock, and keeps an in-memory cache of already-parsed rows, automatically invalidated whenever the underlying file's last-modified timestamp changes, so that concurrent modifications made by another process are always detected. Every update operation rebuilds the entire in-memory list and rewrites the file in a single pass, avoiding partial or corrupted records.</w:t>
      </w:r>
    </w:p>
    <w:p>
      <w:pPr>
        <w:pStyle w:val="Heading2"/>
        <w:spacing w:after="120" w:before="280"/>
      </w:pPr>
      <w:r>
        <w:t xml:space="preserve">6.3. Relational Database</w:t>
      </w:r>
    </w:p>
    <w:p>
      <w:pPr>
        <w:spacing w:after="160"/>
      </w:pPr>
      <w:r>
        <w:t xml:space="preserve">In SQL mode, data is persisted to a real relational database: H2 in embedded mode (no external server to install or configure), reached through standard JDBC at the URL jdbc:h2:./uniride_db;AUTO_SERVER=TRUE. Unlike the two previous modes, the schema is normalized rather than flattened into CSV rows: the many-to-many relationship between a Ride and its passengers is represented by a dedicated join table (ride_passengers) instead of a column with multiple values. The schema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Table</w:t>
            </w:r>
          </w:p>
        </w:tc>
        <w:tc>
          <w:tcPr>
            <w:tcW w:type="pct" w:w="75%"/>
            <w:shd w:fill="E3FAEA" w:val="clear"/>
            <w:tcMar>
              <w:top w:type="dxa" w:w="80"/>
              <w:left w:type="dxa" w:w="120"/>
              <w:bottom w:type="dxa" w:w="80"/>
              <w:right w:type="dxa" w:w="120"/>
            </w:tcMar>
            <w:vAlign w:val="center"/>
          </w:tcPr>
          <w:p>
            <w:r>
              <w:rPr>
                <w:b/>
                <w:bCs/>
                <w:sz w:val="20"/>
                <w:szCs w:val="20"/>
              </w:rPr>
              <w:t xml:space="preserve">Content</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(key),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(key),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join table for the Ride↔passenger many-to-many relationship</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(key), ride_id, passenger_username, state</w:t>
            </w:r>
          </w:p>
        </w:tc>
      </w:tr>
    </w:tbl>
    <w:p>
      <w:pPr>
        <w:spacing w:after="160"/>
      </w:pPr>
      <w:r>
        <w:t xml:space="preserve">The JdbcSupport class centralizes the opening of the connection and the initialization of the schema (CREATE TABLE IF NOT EXISTS, safely executed on every startup). Every Jdbc*DAO uses PreparedStatement for all queries, and H2's own MERGE INTO ... KEY (...) VALUES (...) upsert syntax to save without first having to check whether the record already exists. Saving a Ride is transactional: it updates the row in rides and rebuilds the entire content of ride_passengers (delete + batch insert) within the same transaction, so an inconsistent state between the two tables is never observable from the outside (on failure, the transaction is rolled back explicitly). When reading, the passengers of all the rides returned by a query are loaded with a single IN query on ride_passengers, instead of one extra query per ride.</w:t>
      </w:r>
    </w:p>
    <w:p>
      <w:pPr>
        <w:pStyle w:val="Heading1"/>
        <w:spacing w:after="160" w:before="360"/>
      </w:pPr>
      <w:r>
        <w:t xml:space="preserve">7. SONARCLOUD</w:t>
      </w:r>
    </w:p>
    <w:p>
      <w:pPr>
        <w:spacing w:after="160"/>
      </w:pPr>
      <w:r>
        <w:t xml:space="preserve">The project is connected to SonarCloud (sonarcloud.io) and static analysis is active: on every push and every Pull Request to the default branch, a GitHub Actions workflow (.github/workflows/sonarcloud.yml) builds the project, runs the entire JUnit 5 suite generating the coverage report with JaCoCo, and finally sends the results to SonarCloud via the Sonar Maven Plugin. The repository is linked to the author's sonarcloud.io account, and the SONAR_TOKEN secret is configured in the project's GitHub settings (Settings → Secrets and variables → Actions).</w:t>
      </w:r>
    </w:p>
    <w:p>
      <w:pPr>
        <w:spacing w:after="160"/>
      </w:pPr>
      <w:r>
        <w:t xml:space="preserve">The current state of the quality gate, verified through SonarCloud's public API,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w:t>
            </w:r>
          </w:p>
        </w:tc>
        <w:tc>
          <w:tcPr>
            <w:tcW w:type="pct" w:w="40%"/>
            <w:shd w:fill="E3FAEA" w:val="clear"/>
            <w:tcMar>
              <w:top w:type="dxa" w:w="80"/>
              <w:left w:type="dxa" w:w="120"/>
              <w:bottom w:type="dxa" w:w="80"/>
              <w:right w:type="dxa" w:w="120"/>
            </w:tcMar>
            <w:vAlign w:val="center"/>
          </w:tcPr>
          <w:p>
            <w:r>
              <w:rPr>
                <w:b/>
                <w:bCs/>
                <w:sz w:val="20"/>
                <w:szCs w:val="20"/>
              </w:rPr>
              <w:t xml:space="preserve">Target</w:t>
            </w:r>
          </w:p>
        </w:tc>
        <w:tc>
          <w:tcPr>
            <w:tcW w:type="pct" w:w="30%"/>
            <w:shd w:fill="E3FAEA" w:val="clear"/>
            <w:tcMar>
              <w:top w:type="dxa" w:w="80"/>
              <w:left w:type="dxa" w:w="120"/>
              <w:bottom w:type="dxa" w:w="80"/>
              <w:right w:type="dxa" w:w="120"/>
            </w:tcMar>
            <w:vAlign w:val="center"/>
          </w:tcPr>
          <w:p>
            <w:r>
              <w:rPr>
                <w:b/>
                <w:bCs/>
                <w:sz w:val="20"/>
                <w:szCs w:val="20"/>
              </w:rPr>
              <w:t xml:space="preserve">Current Status</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Vulnerabilities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greater than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excluded, see note)</w:t>
            </w:r>
          </w:p>
        </w:tc>
      </w:tr>
      <w:tr>
        <w:tc>
          <w:tcPr>
            <w:tcW w:type="pct" w:w="30%"/>
            <w:tcMar>
              <w:top w:type="dxa" w:w="80"/>
              <w:left w:type="dxa" w:w="120"/>
              <w:bottom w:type="dxa" w:w="80"/>
              <w:right w:type="dxa" w:w="120"/>
            </w:tcMar>
            <w:vAlign w:val="center"/>
          </w:tcPr>
          <w:p>
            <w:r>
              <w:rPr>
                <w:b w:val="false"/>
                <w:bCs w:val="false"/>
                <w:sz w:val="20"/>
                <w:szCs w:val="20"/>
              </w:rPr>
              <w:t xml:space="preserve">Duplications</w:t>
            </w:r>
          </w:p>
        </w:tc>
        <w:tc>
          <w:tcPr>
            <w:tcW w:type="pct" w:w="40%"/>
            <w:tcMar>
              <w:top w:type="dxa" w:w="80"/>
              <w:left w:type="dxa" w:w="120"/>
              <w:bottom w:type="dxa" w:w="80"/>
              <w:right w:type="dxa" w:w="120"/>
            </w:tcMar>
            <w:vAlign w:val="center"/>
          </w:tcPr>
          <w:p>
            <w:r>
              <w:rPr>
                <w:b w:val="false"/>
                <w:bCs w:val="false"/>
                <w:sz w:val="20"/>
                <w:szCs w:val="20"/>
              </w:rPr>
              <w:t xml:space="preserve">below 3%</w:t>
            </w:r>
          </w:p>
        </w:tc>
        <w:tc>
          <w:tcPr>
            <w:tcW w:type="pct" w:w="30%"/>
            <w:tcMar>
              <w:top w:type="dxa" w:w="80"/>
              <w:left w:type="dxa" w:w="120"/>
              <w:bottom w:type="dxa" w:w="80"/>
              <w:right w:type="dxa" w:w="120"/>
            </w:tcMar>
            <w:vAlign w:val="center"/>
          </w:tcPr>
          <w:p>
            <w:r>
              <w:rPr>
                <w:b w:val="false"/>
                <w:bCs w:val="false"/>
                <w:sz w:val="20"/>
                <w:szCs w:val="20"/>
              </w:rPr>
              <w:t xml:space="preserve">6.7% (not required by the course, see note)</w:t>
            </w:r>
          </w:p>
        </w:tc>
      </w:tr>
    </w:tbl>
    <w:p>
      <w:pPr>
        <w:spacing w:after="160"/>
      </w:pPr>
      <w:r>
        <w:rPr>
          <w:i w:val="true"/>
          <w:iCs w:val="true"/>
        </w:rPr>
        <w:t xml:space="preserve">Note on coverage: as indicated by the course material ("in the analysis carried out via Sonar, the graphical components must be excluded"), the Boundary layer (JavaFX GUI controllers and the corresponding CLI) is excluded from the coverage calculation via sonar.coverage.exclusions in pom.xml, since by BCE definition it contains no application logic and would require a dedicated UI testing framework to be meaningfully unit-tested. The duplication percentage is not a constraint required by the course.</w:t>
      </w:r>
    </w:p>
    <w:p>
      <w:pPr>
        <w:spacing w:after="160"/>
      </w:pPr>
      <w:r>
        <w:t xml:space="preserve">The main rules the code has been made to conform to are listed below:</w:t>
      </w:r>
    </w:p>
    <w:p>
      <w:pPr>
        <w:pStyle w:val="ListParagraph"/>
        <w:numPr>
          <w:ilvl w:val="0"/>
          <w:numId w:val="1"/>
        </w:numPr>
        <w:spacing w:after="80"/>
      </w:pPr>
      <w:r>
        <w:t xml:space="preserve">No System.out.print calls outside the CLI boundary — all application logging goes through the centralized LoggerCustom (the only tolerated exception concerns the *CLI classes and CliMain, explicitly excluded from rule S106 in pom.xml because they necessarily need to print to the console in the absence of a GUI).</w:t>
      </w:r>
    </w:p>
    <w:p>
      <w:pPr>
        <w:pStyle w:val="ListParagraph"/>
        <w:numPr>
          <w:ilvl w:val="0"/>
          <w:numId w:val="1"/>
        </w:numPr>
        <w:spacing w:after="80"/>
      </w:pPr>
      <w:r>
        <w:t xml:space="preserve">No raw types — every collection is parameterized, e.g. List&lt;Ride&gt; and Map&lt;String, Student&gt;.</w:t>
      </w:r>
    </w:p>
    <w:p>
      <w:pPr>
        <w:pStyle w:val="ListParagraph"/>
        <w:numPr>
          <w:ilvl w:val="0"/>
          <w:numId w:val="1"/>
        </w:numPr>
        <w:spacing w:after="80"/>
      </w:pPr>
      <w:r>
        <w:t xml:space="preserve">No empty catch blocks — every catch either logs via LoggerCustom or re-throws with additional context.</w:t>
      </w:r>
    </w:p>
    <w:p>
      <w:pPr>
        <w:pStyle w:val="ListParagraph"/>
        <w:numPr>
          <w:ilvl w:val="0"/>
          <w:numId w:val="1"/>
        </w:numPr>
        <w:spacing w:after="80"/>
      </w:pPr>
      <w:r>
        <w:t xml:space="preserve">Single Responsibility respected — Boundary classes contain no business logic and Control classes do not import JavaFX.</w:t>
      </w:r>
    </w:p>
    <w:p>
      <w:pPr>
        <w:pStyle w:val="ListParagraph"/>
        <w:numPr>
          <w:ilvl w:val="0"/>
          <w:numId w:val="1"/>
        </w:numPr>
        <w:spacing w:after="80"/>
      </w:pPr>
      <w:r>
        <w:t xml:space="preserve">Immutability where possible — final constants for Booking states, final fields in the DAOs referenced by the Controllers.</w:t>
      </w:r>
    </w:p>
    <w:p>
      <w:pPr>
        <w:spacing w:after="160"/>
      </w:pPr>
      <w:r>
        <w:t xml:space="preserve">The up-to-date analysis results can be viewed at any time on the project's public dashboard at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