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17</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19</w:t>
      </w:r>
    </w:p>
    <w:p>
      <w:pPr>
        <w:spacing w:after="90"/>
        <w:ind w:left="0"/>
      </w:pPr>
      <w:r>
        <w:t xml:space="preserve">6. DATABASES</w:t>
        <w:ptab w:alignment="right" w:relativeTo="margin" w:leader="dot"/>
        <w:t xml:space="preserve">20</w:t>
      </w:r>
    </w:p>
    <w:p>
      <w:pPr>
        <w:spacing w:after="90"/>
        <w:ind w:left="0"/>
      </w:pPr>
      <w:r>
        <w:t xml:space="preserve">7. SONARCLOUD</w:t>
        <w:ptab w:alignment="right" w:relativeTo="margin" w:leader="dot"/>
        <w:t xml:space="preserve">21</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e il costo base non può essere negativo.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i posti disponibili con un contatore numerico e il costo base.</w:t>
      </w:r>
    </w:p>
    <w:p>
      <w:pPr>
        <w:pStyle w:val="ListParagraph"/>
        <w:numPr>
          <w:ilvl w:val="0"/>
          <w:numId w:val="1"/>
        </w:numPr>
        <w:spacing w:after="80"/>
      </w:pPr>
      <w:r>
        <w:t xml:space="preserve">3) Il sistema valida i campi obbligatori e verifica che partenza e destinazione non coincidano e che il numero di posti sia maggiore di zero.</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72025"/>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724775"/>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