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20</w:t>
      </w:r>
    </w:p>
    <w:p>
      <w:pPr>
        <w:spacing w:after="90"/>
        <w:ind w:left="0"/>
      </w:pPr>
      <w:r>
        <w:t xml:space="preserve">DELIVERABLE LINKS</w:t>
        <w:ptab w:alignment="right" w:relativeTo="margin" w:leader="dot"/>
        <w:t xml:space="preserve">20</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Il sistema consente a uno studente di registrarsi con nome e cognome, username e password, e di accedere usando tali credenziali per raggiungere la propria dashboard personale. La password deve essere di almeno 6 caratteri. Gli username duplicati vengono rifiutati con un errore specifico. In fase di registrazione lo studente può facoltativamente dichiarare il proprio comune/paese di residenza, usato per suggerire le tratte e l'ateneo più vicini nelle schermate Offri/Cerca Passaggio, e un numero di telefono, convalidato in formato se presente (solo cifre, spazi ed eventuale + iniziale). Il telefono non compare mai in un elenco di ricerca pubblico: diventa visibile alla controparte solo quando esiste già una richiesta di passaggio concreta fra i due studenti, in ‘Le Mie Corse’, così da potersi accordare sul punto d'incontro.</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Il sistema consente a un guidatore autenticato di pubblicare un nuovo passaggio, specificando anche l'orario di partenza (obbligatorio, formato HH:mm), di visualizzare tutte le proprie corse offerte, di segnare una corsa come completata e di annullarla — anche con passeggeri già prenotati, nel qual caso vengono notificati tramite il Pattern Observer. Partenza e destinazione non possono coincidere, il numero di posti deve essere maggiore di zero, il costo base non può essere negativo e l'orario di partenza deve rispettare il formato HH:mm.</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 Management</w:t>
            </w:r>
          </w:p>
          <w:p>
            <w:r>
              <w:t xml:space="preserve">Il sistema consente a un passeggero autenticato di richiedere un posto su qualunque passaggio con disponibilità: il posto viene riservato immediatamente, ma la richiesta resta in stato REQUESTED finché il guidatore non la conferma (CONFIRMED) o la rifiuta (REJECTED, con conseguente rilascio del posto). Il passeggero può visualizzare le proprie richieste/prenotazioni attive e annullarle in qualsiasi momento, liberando il posto sulla corsa. Non è consentito richiedere un posto sul proprio stesso passaggio, né inviare due richieste attive sulla stessa corsa.</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suddiviso nei suoi quattro strati architetturali, seguendo il pattern Boundary-Control-Entity. Una panoramica globale di come i livelli interagiscono chiude la sezione.</w:t>
      </w:r>
    </w:p>
    <w:p>
      <w:pPr>
        <w:spacing w:after="160"/>
      </w:pPr>
      <w:r>
        <w:rPr>
          <w:i/>
          <w:iCs/>
        </w:rPr>
        <w:t xml:space="preserve">La parte Boundary:</w:t>
      </w:r>
    </w:p>
    <w:p>
      <w:pPr>
        <w:spacing w:after="80" w:before="200"/>
        <w:jc w:val="center"/>
      </w:pPr>
      <w:r>
        <w:drawing>
          <wp:inline distT="0" distB="0" distL="0" distR="0">
            <wp:extent cx="5715000" cy="48767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876703"/>
                    </a:xfrm>
                    <a:prstGeom prst="rect">
                      <a:avLst/>
                    </a:prstGeom>
                  </pic:spPr>
                </pic:pic>
              </a:graphicData>
            </a:graphic>
          </wp:inline>
        </w:drawing>
      </w:r>
    </w:p>
    <w:p>
      <w:pPr>
        <w:spacing w:after="240"/>
        <w:jc w:val="center"/>
      </w:pPr>
      <w:r>
        <w:rPr>
          <w:i/>
          <w:iCs/>
          <w:color w:val="555555"/>
          <w:sz w:val="20"/>
          <w:szCs w:val="20"/>
        </w:rPr>
        <w:t xml:space="preserve">Figura 2 — Diagramma delle classi Boundary</w:t>
      </w:r>
    </w:p>
    <w:p>
      <w:pPr>
        <w:spacing w:after="160"/>
      </w:pPr>
      <w:r>
        <w:t xml:space="preserve">Lo strato Boundary contiene esclusivamente classi che interagiscono con l'utente. Le classi controller JavaFX sono collegate alle rispettive viste FXML e scambiano solo oggetti Bean con lo strato Control, mai le Entity direttamente. Ogni Boundary gestisce da sé il caricamento del proprio FXML e lo scambio della Scene sullo Stage: non esiste una classe SceneManager centralizzata. CliMain offre un'interfaccia testuale equivalente per ambienti headless.</w:t>
      </w:r>
    </w:p>
    <w:p>
      <w:pPr>
        <w:spacing w:after="160"/>
      </w:pPr>
      <w:r>
        <w:rPr>
          <w:i/>
          <w:iCs/>
        </w:rPr>
        <w:t xml:space="preserve">La parte Control:</w:t>
      </w:r>
    </w:p>
    <w:p>
      <w:pPr>
        <w:spacing w:after="80" w:before="200"/>
        <w:jc w:val="center"/>
      </w:pPr>
      <w:r>
        <w:drawing>
          <wp:inline distT="0" distB="0" distL="0" distR="0">
            <wp:extent cx="5715000" cy="21139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13967"/>
                    </a:xfrm>
                    <a:prstGeom prst="rect">
                      <a:avLst/>
                    </a:prstGeom>
                  </pic:spPr>
                </pic:pic>
              </a:graphicData>
            </a:graphic>
          </wp:inline>
        </w:drawing>
      </w:r>
    </w:p>
    <w:p>
      <w:pPr>
        <w:spacing w:after="240"/>
        <w:jc w:val="center"/>
      </w:pPr>
      <w:r>
        <w:rPr>
          <w:i/>
          <w:iCs/>
          <w:color w:val="555555"/>
          <w:sz w:val="20"/>
          <w:szCs w:val="20"/>
        </w:rPr>
        <w:t xml:space="preserve">Figura 3 — Diagramma delle classi Control</w:t>
      </w:r>
    </w:p>
    <w:p>
      <w:pPr>
        <w:spacing w:after="160"/>
      </w:pPr>
      <w:r>
        <w:t xml:space="preserve">Lo strato Control incapsula tutta la logica di business e i casi d'uso. Ogni controller riceve i Bean dalla Boundary, li valida, orchestra le Entity e delega la persistenza allo strato DAO. Nessuna di queste classi dipende da JavaFX, il che consente agli stessi controller di servire sia la GUI sia la CLI senza modifiche. Il Singleton Session fornisce a tutti i controller l'identità dello studente attualmente autenticato.</w:t>
      </w:r>
    </w:p>
    <w:p>
      <w:pPr>
        <w:spacing w:after="160"/>
      </w:pPr>
      <w:r>
        <w:rPr>
          <w:i/>
          <w:iCs/>
        </w:rPr>
        <w:t xml:space="preserve">La parte Model (Entity):</w:t>
      </w:r>
    </w:p>
    <w:p>
      <w:pPr>
        <w:spacing w:after="80" w:before="200"/>
        <w:jc w:val="center"/>
      </w:pPr>
      <w:r>
        <w:drawing>
          <wp:inline distT="0" distB="0" distL="0" distR="0">
            <wp:extent cx="4381500" cy="81470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8147033"/>
                    </a:xfrm>
                    <a:prstGeom prst="rect">
                      <a:avLst/>
                    </a:prstGeom>
                  </pic:spPr>
                </pic:pic>
              </a:graphicData>
            </a:graphic>
          </wp:inline>
        </w:drawing>
      </w:r>
    </w:p>
    <w:p>
      <w:pPr>
        <w:spacing w:after="240"/>
        <w:jc w:val="center"/>
      </w:pPr>
      <w:r>
        <w:rPr>
          <w:i/>
          <w:iCs/>
          <w:color w:val="555555"/>
          <w:sz w:val="20"/>
          <w:szCs w:val="20"/>
        </w:rPr>
        <w:t xml:space="preserve">Figura 4 — Diagramma delle classi Entity</w:t>
      </w:r>
    </w:p>
    <w:p>
      <w:pPr>
        <w:spacing w:after="160"/>
      </w:pPr>
      <w:r>
        <w:t xml:space="preserve">Lo strato Entity rappresenta le classi di dominio. Ride è l'entità più ricca: oltre ai propri attributi possiede la lista degli observer registrati ed espone i metodi che innescano le proprie transizioni di stato (bookSeat, cancelSeat, complete, cancel), garantendo che il campo state sia sempre coerente. Booking modella lo stato di approvazione (REQUESTED/CONFIRMED/REJECTED/CANCELLED)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5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6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7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8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9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10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color w:val="555555"/>
          <w:sz w:val="20"/>
          <w:szCs w:val="20"/>
        </w:rPr>
        <w:t xml:space="preserve">Figura 11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che mostra il caso d'uso completo 'Richiedi Prenotazione': il passeggero seleziona un passaggio dai risultati di ricerca, SearchRideController valida la richiesta rispetto alla sessione e allo stato del Ride, riserva il posto, crea un Booking in stato REQUESTED e lo persiste.</w:t>
      </w:r>
    </w:p>
    <w:p>
      <w:pPr>
        <w:spacing w:after="80" w:before="20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00350"/>
                    </a:xfrm>
                    <a:prstGeom prst="rect">
                      <a:avLst/>
                    </a:prstGeom>
                  </pic:spPr>
                </pic:pic>
              </a:graphicData>
            </a:graphic>
          </wp:inline>
        </w:drawing>
      </w:r>
    </w:p>
    <w:p>
      <w:pPr>
        <w:spacing w:after="240"/>
        <w:jc w:val="center"/>
      </w:pPr>
      <w:r>
        <w:rPr>
          <w:i/>
          <w:iCs/>
          <w:color w:val="555555"/>
          <w:sz w:val="20"/>
          <w:szCs w:val="20"/>
        </w:rPr>
        <w:t xml:space="preserve">Figura 12 — Sequence Diagram del caso d'uso 'Richiedi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52850"/>
                    </a:xfrm>
                    <a:prstGeom prst="rect">
                      <a:avLst/>
                    </a:prstGeom>
                  </pic:spPr>
                </pic:pic>
              </a:graphicData>
            </a:graphic>
          </wp:inline>
        </w:drawing>
      </w:r>
    </w:p>
    <w:p>
      <w:pPr>
        <w:spacing w:after="240"/>
        <w:jc w:val="center"/>
      </w:pPr>
      <w:r>
        <w:rPr>
          <w:i/>
          <w:iCs/>
          <w:color w:val="555555"/>
          <w:sz w:val="20"/>
          <w:szCs w:val="20"/>
        </w:rPr>
        <w:t xml:space="preserve">Figura 13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4572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695700"/>
                    </a:xfrm>
                    <a:prstGeom prst="rect">
                      <a:avLst/>
                    </a:prstGeom>
                  </pic:spPr>
                </pic:pic>
              </a:graphicData>
            </a:graphic>
          </wp:inline>
        </w:drawing>
      </w:r>
    </w:p>
    <w:p>
      <w:pPr>
        <w:spacing w:after="240"/>
        <w:jc w:val="center"/>
      </w:pPr>
      <w:r>
        <w:rPr>
          <w:i/>
          <w:iCs/>
          <w:color w:val="555555"/>
          <w:sz w:val="20"/>
          <w:szCs w:val="20"/>
        </w:rPr>
        <w:t xml:space="preserve">Figura 14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Deliverable Links a fine documento).</w:t>
      </w:r>
    </w:p>
    <w:p>
      <w:pPr>
        <w:pStyle w:val="Heading1"/>
        <w:spacing w:after="160" w:before="360"/>
      </w:pPr>
      <w:r>
        <w:t xml:space="preserve">DELIVERABLE LINKS</w:t>
      </w:r>
    </w:p>
    <w:p>
      <w:pPr>
        <w:spacing w:after="160"/>
      </w:pPr>
      <w:r>
        <w:t xml:space="preserve">Come richiesto dalle Final Project Detailed Instructions, i deliverable delle sezioni 5 (Code) e 6 (Video) non sono riportati per intero in questo PDF, ma referenziati tramite i link seguenti.</w:t>
      </w:r>
    </w:p>
    <w:p>
      <w:pPr>
        <w:spacing w:after="140"/>
      </w:pPr>
      <w:r>
        <w:rPr>
          <w:b/>
          <w:bCs/>
        </w:rPr>
        <w:t xml:space="preserve">Codice sorgente (comprende anche i test JUnit)</w:t>
      </w:r>
      <w:r>
        <w:br/>
        <w:t xml:space="preserve">https://github.com/AlessioCarta/ISPW</w:t>
      </w:r>
    </w:p>
    <w:p>
      <w:pPr>
        <w:spacing w:after="140"/>
      </w:pPr>
      <w:r>
        <w:rPr>
          <w:b/>
          <w:bCs/>
        </w:rPr>
        <w:t xml:space="preserve">Analisi statica del codice (SonarCloud — 0 bug, 0 vulnerabilità, 0 code smell)</w:t>
      </w:r>
      <w:r>
        <w:br/>
        <w:t xml:space="preserve">https://sonarcloud.io/project/overview?id=AlessioCarta_ISPW</w:t>
      </w:r>
    </w:p>
    <w:p>
      <w:pPr>
        <w:spacing w:after="140"/>
      </w:pPr>
      <w:r>
        <w:rPr>
          <w:b/>
          <w:bCs/>
        </w:rPr>
        <w:t xml:space="preserve">Video dimostrativo (1–2 minuti, con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