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r>
      <w:r>
        <w:ptab w:alignment="right" w:relativeTo="margin" w:leader="dot"/>
      </w:r>
      <w:r>
        <w:t xml:space="preserve">3</w:t>
      </w:r>
    </w:p>
    <w:p>
      <w:pPr>
        <w:spacing w:after="90"/>
        <w:ind w:left="300"/>
      </w:pPr>
      <w:r>
        <w:t xml:space="preserve">1.1. Introduction</w:t>
      </w:r>
      <w:r>
        <w:ptab w:alignment="right" w:relativeTo="margin" w:leader="dot"/>
      </w:r>
      <w:r>
        <w:t xml:space="preserve">3</w:t>
      </w:r>
    </w:p>
    <w:p>
      <w:pPr>
        <w:spacing w:after="90"/>
        <w:ind w:left="300"/>
      </w:pPr>
      <w:r>
        <w:t xml:space="preserve">1.2. User Stories</w:t>
      </w:r>
      <w:r>
        <w:ptab w:alignment="right" w:relativeTo="margin" w:leader="dot"/>
      </w:r>
      <w:r>
        <w:t xml:space="preserve">4</w:t>
      </w:r>
    </w:p>
    <w:p>
      <w:pPr>
        <w:spacing w:after="90"/>
        <w:ind w:left="300"/>
      </w:pPr>
      <w:r>
        <w:t xml:space="preserve">1.3. Functional Requirements</w:t>
      </w:r>
      <w:r>
        <w:ptab w:alignment="right" w:relativeTo="margin" w:leader="dot"/>
      </w:r>
      <w:r>
        <w:t xml:space="preserve">5</w:t>
      </w:r>
    </w:p>
    <w:p>
      <w:pPr>
        <w:spacing w:after="90"/>
        <w:ind w:left="300"/>
      </w:pPr>
      <w:r>
        <w:t xml:space="preserve">1.4. Use Cases</w:t>
      </w:r>
      <w:r>
        <w:ptab w:alignment="right" w:relativeTo="margin" w:leader="dot"/>
      </w:r>
      <w:r>
        <w:t xml:space="preserve">6</w:t>
      </w:r>
    </w:p>
    <w:p>
      <w:pPr>
        <w:spacing w:after="90"/>
        <w:ind w:left="0"/>
      </w:pPr>
      <w:r>
        <w:t xml:space="preserve">2. STORYBOARDS</w:t>
      </w:r>
      <w:r>
        <w:ptab w:alignment="right" w:relativeTo="margin" w:leader="dot"/>
      </w:r>
      <w:r>
        <w:t xml:space="preserve">7</w:t>
      </w:r>
    </w:p>
    <w:p>
      <w:pPr>
        <w:spacing w:after="90"/>
        <w:ind w:left="0"/>
      </w:pPr>
      <w:r>
        <w:t xml:space="preserve">3. DESIGN</w:t>
      </w:r>
      <w:r>
        <w:ptab w:alignment="right" w:relativeTo="margin" w:leader="dot"/>
      </w:r>
      <w:r>
        <w:t xml:space="preserve">8</w:t>
      </w:r>
    </w:p>
    <w:p>
      <w:pPr>
        <w:spacing w:after="90"/>
        <w:ind w:left="300"/>
      </w:pPr>
      <w:r>
        <w:t xml:space="preserve">3.1. Class Diagram — VOPC (Analysis)</w:t>
      </w:r>
      <w:r>
        <w:ptab w:alignment="right" w:relativeTo="margin" w:leader="dot"/>
      </w:r>
      <w:r>
        <w:t xml:space="preserve">8</w:t>
      </w:r>
    </w:p>
    <w:p>
      <w:pPr>
        <w:spacing w:after="90"/>
        <w:ind w:left="300"/>
      </w:pPr>
      <w:r>
        <w:t xml:space="preserve">3.2. Class Diagram — Design Level</w:t>
      </w:r>
      <w:r>
        <w:ptab w:alignment="right" w:relativeTo="margin" w:leader="dot"/>
      </w:r>
      <w:r>
        <w:t xml:space="preserve">13</w:t>
      </w:r>
    </w:p>
    <w:p>
      <w:pPr>
        <w:spacing w:after="90"/>
        <w:ind w:left="300"/>
      </w:pPr>
      <w:r>
        <w:t xml:space="preserve">3.3. Design Patterns</w:t>
      </w:r>
      <w:r>
        <w:ptab w:alignment="right" w:relativeTo="margin" w:leader="dot"/>
      </w:r>
      <w:r>
        <w:t xml:space="preserve">14</w:t>
      </w:r>
    </w:p>
    <w:p>
      <w:pPr>
        <w:spacing w:after="90"/>
        <w:ind w:left="300"/>
      </w:pPr>
      <w:r>
        <w:t xml:space="preserve">3.4. Activity Diagram</w:t>
      </w:r>
      <w:r>
        <w:ptab w:alignment="right" w:relativeTo="margin" w:leader="dot"/>
      </w:r>
      <w:r>
        <w:t xml:space="preserve">15</w:t>
      </w:r>
    </w:p>
    <w:p>
      <w:pPr>
        <w:spacing w:after="90"/>
        <w:ind w:left="300"/>
      </w:pPr>
      <w:r>
        <w:t xml:space="preserve">3.5. Sequence Diagram</w:t>
      </w:r>
      <w:r>
        <w:ptab w:alignment="right" w:relativeTo="margin" w:leader="dot"/>
      </w:r>
      <w:r>
        <w:t xml:space="preserve">16</w:t>
      </w:r>
    </w:p>
    <w:p>
      <w:pPr>
        <w:spacing w:after="90"/>
        <w:ind w:left="300"/>
      </w:pPr>
      <w:r>
        <w:t xml:space="preserve">3.6. State Diagram</w:t>
      </w:r>
      <w:r>
        <w:ptab w:alignment="right" w:relativeTo="margin" w:leader="dot"/>
      </w:r>
      <w:r>
        <w:t xml:space="preserve">17</w:t>
      </w:r>
    </w:p>
    <w:p>
      <w:pPr>
        <w:spacing w:after="90"/>
        <w:ind w:left="0"/>
      </w:pPr>
      <w:r>
        <w:t xml:space="preserve">4. TESTING</w:t>
      </w:r>
      <w:r>
        <w:ptab w:alignment="right" w:relativeTo="margin" w:leader="dot"/>
      </w:r>
      <w:r>
        <w:t xml:space="preserve">18</w:t>
      </w:r>
    </w:p>
    <w:p>
      <w:pPr>
        <w:spacing w:after="90"/>
        <w:ind w:left="0"/>
      </w:pPr>
      <w:r>
        <w:t xml:space="preserve">5. EXCEPTIONS</w:t>
      </w:r>
      <w:r>
        <w:ptab w:alignment="right" w:relativeTo="margin" w:leader="dot"/>
      </w:r>
      <w:r>
        <w:t xml:space="preserve">18</w:t>
      </w:r>
    </w:p>
    <w:p>
      <w:pPr>
        <w:spacing w:after="90"/>
        <w:ind w:left="0"/>
      </w:pPr>
      <w:r>
        <w:t xml:space="preserve">6. DATABASES</w:t>
      </w:r>
      <w:r>
        <w:ptab w:alignment="right" w:relativeTo="margin" w:leader="dot"/>
      </w:r>
      <w:r>
        <w:t xml:space="preserve">19</w:t>
      </w:r>
    </w:p>
    <w:p>
      <w:pPr>
        <w:spacing w:after="90"/>
        <w:ind w:left="0"/>
      </w:pPr>
      <w:r>
        <w:t xml:space="preserve">7. SONARCLOUD</w:t>
      </w:r>
      <w:r>
        <w:ptab w:alignment="right" w:relativeTo="margin" w:leader="dot"/>
      </w:r>
      <w:r>
        <w:t xml:space="preserve">20</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e il costo base non può essere negativo.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i posti disponibili con un contatore numerico e il costo base.</w:t>
      </w:r>
    </w:p>
    <w:p>
      <w:pPr>
        <w:pStyle w:val="ListParagraph"/>
        <w:numPr>
          <w:ilvl w:val="0"/>
          <w:numId w:val="1"/>
        </w:numPr>
        <w:spacing w:after="80"/>
      </w:pPr>
      <w:r>
        <w:t xml:space="preserve">3) Il sistema valida i campi obbligatori e verifica che partenza e destinazione non coincidano e che il numero di posti sia maggiore di zero.</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72025"/>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724775"/>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623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8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9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Due sottoclassi concrete, MemoryDAOFactory e FsDAOFactory, la estendono e istanziano le implementazioni corrette in base al valore di Config.PERSISTENCE_TYPE (una terza, SqlDAOFactory, è predisposta come scheletro non ancora collegato a un database reale). Grazie a questo design, cambiare l'intera applicazione dalla persistenza in memoria a quella su file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10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11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12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13 — State Diagram di Booking</w:t>
      </w:r>
    </w:p>
    <w:p>
      <w:pPr>
        <w:pStyle w:val="Heading1"/>
        <w:spacing w:after="160" w:before="360"/>
      </w:pPr>
      <w:r>
        <w:t xml:space="preserve">4. TESTING</w:t>
      </w:r>
    </w:p>
    <w:p>
      <w:pPr>
        <w:spacing w:after="160"/>
      </w:pPr>
      <w:r>
        <w:t xml:space="preserve">Nella parte di testing sono presenti quattro classi di test JUnit 5 che verificano le funzioni più rilevanti dello strato di dominio e dei pattern applicati.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bl>
    <w:p>
      <w:pPr>
        <w:spacing w:after="160"/>
      </w:pPr>
      <w:r>
        <w:t xml:space="preserve">Tutti i test vengono eseguiti istanziando direttamente le Entity di dominio (Ride, Booking) senza passare dai DAO o dalla Sessione, così da restare completamente deterministici e indipendenti dalla macchina su cui vengono eseguiti.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due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1"/>
        <w:spacing w:after="160" w:before="360"/>
      </w:pPr>
      <w:r>
        <w:t xml:space="preserve">7. SONARCLOUD</w:t>
      </w:r>
    </w:p>
    <w:p>
      <w:pPr>
        <w:spacing w:after="160"/>
      </w:pPr>
      <w:r>
        <w:t xml:space="preserve">Per verificare il corretto comportamento del progetto è stata configurata l'integrazione con SonarCloud. Il sistema segnala possibili bug, vulnerabilità e verifica che le funzioni siano correttamente implementate. L'analisi viene innescata automaticamente ad ogni push e ad ogni Pull Request verso il branch di default tramite un workflow GitHub Actions (.github/workflows/sonarcloud.yml), che compila il progetto, esegue i test generando il report di copertura con JaCoCo e infine invia i risultati a SonarCloud tramite il Sonar Maven Plugin.</w:t>
      </w:r>
    </w:p>
    <w:p>
      <w:pPr>
        <w:spacing w:after="160"/>
      </w:pPr>
      <w:r>
        <w:rPr>
          <w:i/>
          <w:iCs/>
        </w:rPr>
        <w:t xml:space="preserve">Nota di attivazione: il codice del workflow e la configurazione Maven sono già presenti nel repository; perché l'analisi venga effettivamente eseguita è necessario collegare una sola volta il repository al proprio account su sonarcloud.io e aggiungere il secret SONAR_TOKEN nelle impostazioni GitHub del progetto (Settings → Secrets and variables → Actions) — un passo che richiede le credenziali personali dell'autore e non è quindi automatizzabile da remoto.</w:t>
      </w:r>
    </w:p>
    <w:p>
      <w:pPr>
        <w:spacing w:after="160"/>
      </w:pPr>
      <w:r>
        <w:t xml:space="preserve">La quality gate applicata al progetto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
        <w:gridCol w:w="60"/>
      </w:tblGrid>
      <w:tr>
        <w:tc>
          <w:tcPr>
            <w:tcW w:type="pct" w:w="40%"/>
            <w:shd w:fill="E3FAEA" w:val="clear"/>
            <w:tcMar>
              <w:top w:type="dxa" w:w="80"/>
              <w:left w:type="dxa" w:w="120"/>
              <w:bottom w:type="dxa" w:w="80"/>
              <w:right w:type="dxa" w:w="120"/>
            </w:tcMar>
            <w:vAlign w:val="center"/>
          </w:tcPr>
          <w:p>
            <w:r>
              <w:rPr>
                <w:b/>
                <w:bCs/>
                <w:sz w:val="20"/>
                <w:szCs w:val="20"/>
              </w:rPr>
              <w:t xml:space="preserve">Metrica</w:t>
            </w:r>
          </w:p>
        </w:tc>
        <w:tc>
          <w:tcPr>
            <w:tcW w:type="pct" w:w="60%"/>
            <w:shd w:fill="E3FAEA" w:val="clear"/>
            <w:tcMar>
              <w:top w:type="dxa" w:w="80"/>
              <w:left w:type="dxa" w:w="120"/>
              <w:bottom w:type="dxa" w:w="80"/>
              <w:right w:type="dxa" w:w="120"/>
            </w:tcMar>
            <w:vAlign w:val="center"/>
          </w:tcPr>
          <w:p>
            <w:r>
              <w:rPr>
                <w:b/>
                <w:bCs/>
                <w:sz w:val="20"/>
                <w:szCs w:val="20"/>
              </w:rPr>
              <w:t xml:space="preserve">Obiettivo</w:t>
            </w:r>
          </w:p>
        </w:tc>
      </w:tr>
      <w:tr>
        <w:tc>
          <w:tcPr>
            <w:tcW w:type="pct" w:w="40%"/>
            <w:tcMar>
              <w:top w:type="dxa" w:w="80"/>
              <w:left w:type="dxa" w:w="120"/>
              <w:bottom w:type="dxa" w:w="80"/>
              <w:right w:type="dxa" w:w="120"/>
            </w:tcMar>
            <w:vAlign w:val="center"/>
          </w:tcPr>
          <w:p>
            <w:r>
              <w:rPr>
                <w:b w:val="false"/>
                <w:bCs w:val="false"/>
                <w:sz w:val="20"/>
                <w:szCs w:val="20"/>
              </w:rPr>
              <w:t xml:space="preserve">Bug</w:t>
            </w:r>
          </w:p>
        </w:tc>
        <w:tc>
          <w:tcPr>
            <w:tcW w:type="pct" w:w="60%"/>
            <w:tcMar>
              <w:top w:type="dxa" w:w="80"/>
              <w:left w:type="dxa" w:w="120"/>
              <w:bottom w:type="dxa" w:w="80"/>
              <w:right w:type="dxa" w:w="120"/>
            </w:tcMar>
            <w:vAlign w:val="center"/>
          </w:tcPr>
          <w:p>
            <w:r>
              <w:rPr>
                <w:b w:val="false"/>
                <w:bCs w:val="false"/>
                <w:sz w:val="20"/>
                <w:szCs w:val="20"/>
              </w:rPr>
              <w:t xml:space="preserve">0</w:t>
            </w:r>
          </w:p>
        </w:tc>
      </w:tr>
      <w:tr>
        <w:tc>
          <w:tcPr>
            <w:tcW w:type="pct" w:w="40%"/>
            <w:tcMar>
              <w:top w:type="dxa" w:w="80"/>
              <w:left w:type="dxa" w:w="120"/>
              <w:bottom w:type="dxa" w:w="80"/>
              <w:right w:type="dxa" w:w="120"/>
            </w:tcMar>
            <w:vAlign w:val="center"/>
          </w:tcPr>
          <w:p>
            <w:r>
              <w:rPr>
                <w:b w:val="false"/>
                <w:bCs w:val="false"/>
                <w:sz w:val="20"/>
                <w:szCs w:val="20"/>
              </w:rPr>
              <w:t xml:space="preserve">Vulnerabilità</w:t>
            </w:r>
          </w:p>
        </w:tc>
        <w:tc>
          <w:tcPr>
            <w:tcW w:type="pct" w:w="60%"/>
            <w:tcMar>
              <w:top w:type="dxa" w:w="80"/>
              <w:left w:type="dxa" w:w="120"/>
              <w:bottom w:type="dxa" w:w="80"/>
              <w:right w:type="dxa" w:w="120"/>
            </w:tcMar>
            <w:vAlign w:val="center"/>
          </w:tcPr>
          <w:p>
            <w:r>
              <w:rPr>
                <w:b w:val="false"/>
                <w:bCs w:val="false"/>
                <w:sz w:val="20"/>
                <w:szCs w:val="20"/>
              </w:rPr>
              <w:t xml:space="preserve">0</w:t>
            </w:r>
          </w:p>
        </w:tc>
      </w:tr>
      <w:tr>
        <w:tc>
          <w:tcPr>
            <w:tcW w:type="pct" w:w="40%"/>
            <w:tcMar>
              <w:top w:type="dxa" w:w="80"/>
              <w:left w:type="dxa" w:w="120"/>
              <w:bottom w:type="dxa" w:w="80"/>
              <w:right w:type="dxa" w:w="120"/>
            </w:tcMar>
            <w:vAlign w:val="center"/>
          </w:tcPr>
          <w:p>
            <w:r>
              <w:rPr>
                <w:b w:val="false"/>
                <w:bCs w:val="false"/>
                <w:sz w:val="20"/>
                <w:szCs w:val="20"/>
              </w:rPr>
              <w:t xml:space="preserve">Security Hotspot</w:t>
            </w:r>
          </w:p>
        </w:tc>
        <w:tc>
          <w:tcPr>
            <w:tcW w:type="pct" w:w="60%"/>
            <w:tcMar>
              <w:top w:type="dxa" w:w="80"/>
              <w:left w:type="dxa" w:w="120"/>
              <w:bottom w:type="dxa" w:w="80"/>
              <w:right w:type="dxa" w:w="120"/>
            </w:tcMar>
            <w:vAlign w:val="center"/>
          </w:tcPr>
          <w:p>
            <w:r>
              <w:rPr>
                <w:b w:val="false"/>
                <w:bCs w:val="false"/>
                <w:sz w:val="20"/>
                <w:szCs w:val="20"/>
              </w:rPr>
              <w:t xml:space="preserve">0</w:t>
            </w:r>
          </w:p>
        </w:tc>
      </w:tr>
      <w:tr>
        <w:tc>
          <w:tcPr>
            <w:tcW w:type="pct" w:w="40%"/>
            <w:tcMar>
              <w:top w:type="dxa" w:w="80"/>
              <w:left w:type="dxa" w:w="120"/>
              <w:bottom w:type="dxa" w:w="80"/>
              <w:right w:type="dxa" w:w="120"/>
            </w:tcMar>
            <w:vAlign w:val="center"/>
          </w:tcPr>
          <w:p>
            <w:r>
              <w:rPr>
                <w:b w:val="false"/>
                <w:bCs w:val="false"/>
                <w:sz w:val="20"/>
                <w:szCs w:val="20"/>
              </w:rPr>
              <w:t xml:space="preserve">Code Smell</w:t>
            </w:r>
          </w:p>
        </w:tc>
        <w:tc>
          <w:tcPr>
            <w:tcW w:type="pct" w:w="60%"/>
            <w:tcMar>
              <w:top w:type="dxa" w:w="80"/>
              <w:left w:type="dxa" w:w="120"/>
              <w:bottom w:type="dxa" w:w="80"/>
              <w:right w:type="dxa" w:w="120"/>
            </w:tcMar>
            <w:vAlign w:val="center"/>
          </w:tcPr>
          <w:p>
            <w:r>
              <w:rPr>
                <w:b w:val="false"/>
                <w:bCs w:val="false"/>
                <w:sz w:val="20"/>
                <w:szCs w:val="20"/>
              </w:rPr>
              <w:t xml:space="preserve">0</w:t>
            </w:r>
          </w:p>
        </w:tc>
      </w:tr>
      <w:tr>
        <w:tc>
          <w:tcPr>
            <w:tcW w:type="pct" w:w="40%"/>
            <w:tcMar>
              <w:top w:type="dxa" w:w="80"/>
              <w:left w:type="dxa" w:w="120"/>
              <w:bottom w:type="dxa" w:w="80"/>
              <w:right w:type="dxa" w:w="120"/>
            </w:tcMar>
            <w:vAlign w:val="center"/>
          </w:tcPr>
          <w:p>
            <w:r>
              <w:rPr>
                <w:b w:val="false"/>
                <w:bCs w:val="false"/>
                <w:sz w:val="20"/>
                <w:szCs w:val="20"/>
              </w:rPr>
              <w:t xml:space="preserve">Coverage</w:t>
            </w:r>
          </w:p>
        </w:tc>
        <w:tc>
          <w:tcPr>
            <w:tcW w:type="pct" w:w="60%"/>
            <w:tcMar>
              <w:top w:type="dxa" w:w="80"/>
              <w:left w:type="dxa" w:w="120"/>
              <w:bottom w:type="dxa" w:w="80"/>
              <w:right w:type="dxa" w:w="120"/>
            </w:tcMar>
            <w:vAlign w:val="center"/>
          </w:tcPr>
          <w:p>
            <w:r>
              <w:rPr>
                <w:b w:val="false"/>
                <w:bCs w:val="false"/>
                <w:sz w:val="20"/>
                <w:szCs w:val="20"/>
              </w:rPr>
              <w:t xml:space="preserve">maggiore del 60% (JUnit 5 + JaCoCo)</w:t>
            </w:r>
          </w:p>
        </w:tc>
      </w:tr>
      <w:tr>
        <w:tc>
          <w:tcPr>
            <w:tcW w:type="pct" w:w="40%"/>
            <w:tcMar>
              <w:top w:type="dxa" w:w="80"/>
              <w:left w:type="dxa" w:w="120"/>
              <w:bottom w:type="dxa" w:w="80"/>
              <w:right w:type="dxa" w:w="120"/>
            </w:tcMar>
            <w:vAlign w:val="center"/>
          </w:tcPr>
          <w:p>
            <w:r>
              <w:rPr>
                <w:b w:val="false"/>
                <w:bCs w:val="false"/>
                <w:sz w:val="20"/>
                <w:szCs w:val="20"/>
              </w:rPr>
              <w:t xml:space="preserve">Duplicazioni</w:t>
            </w:r>
          </w:p>
        </w:tc>
        <w:tc>
          <w:tcPr>
            <w:tcW w:type="pct" w:w="60%"/>
            <w:tcMar>
              <w:top w:type="dxa" w:w="80"/>
              <w:left w:type="dxa" w:w="120"/>
              <w:bottom w:type="dxa" w:w="80"/>
              <w:right w:type="dxa" w:w="120"/>
            </w:tcMar>
            <w:vAlign w:val="center"/>
          </w:tcPr>
          <w:p>
            <w:r>
              <w:rPr>
                <w:b w:val="false"/>
                <w:bCs w:val="false"/>
                <w:sz w:val="20"/>
                <w:szCs w:val="20"/>
              </w:rPr>
              <w:t xml:space="preserve">inferiori al 3%</w:t>
            </w:r>
          </w:p>
        </w:tc>
      </w:tr>
    </w:tbl>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dell'analisi saranno consultabili sulla dashboard SonarCloud del progetto una volta completato il collegamento del repository.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73e02493be92d92482005d384b6a95122a560f26.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9bcf332394e42081e87ba142a6eb599959f974ec.png"/><Relationship Id="rId15" Type="http://schemas.openxmlformats.org/officeDocument/2006/relationships/image" Target="media/3925bcbe00ec3d406a4879b55cd0880ecef68c21.png"/><Relationship Id="rId16" Type="http://schemas.openxmlformats.org/officeDocument/2006/relationships/image" Target="media/aaa2f017c496e805b7f0a6e090122c92b80b28e1.png"/><Relationship Id="rId17" Type="http://schemas.openxmlformats.org/officeDocument/2006/relationships/image" Target="media/ecfb50564ff6d47edf59b1bf2caaa5447f0ffe03.png"/><Relationship Id="rId18" Type="http://schemas.openxmlformats.org/officeDocument/2006/relationships/image" Target="media/fa3c5457698dad725cb8d28a52e9a27527806261.png"/><Relationship Id="rId19" Type="http://schemas.openxmlformats.org/officeDocument/2006/relationships/image" Target="media/18b8249be8b20e7a78ef22484dcc41bfbf90009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2026-08-06T08:13:17.182Z</dcterms:created>
  <dcterms:modified xsi:type="dcterms:W3CDTF">2026-08-06T08:13:17.189Z</dcterms:modified>
</cp:coreProperties>
</file>

<file path=docProps/custom.xml><?xml version="1.0" encoding="utf-8"?>
<Properties xmlns="http://schemas.openxmlformats.org/officeDocument/2006/custom-properties" xmlns:vt="http://schemas.openxmlformats.org/officeDocument/2006/docPropsVTypes"/>
</file>