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rejection, or automatic expiration if no response arrives within 24 hours:</w:t>
      </w:r>
    </w:p>
    <w:p>
      <w:pPr>
        <w:spacing w:after="80" w:before="200"/>
        <w:jc w:val="center"/>
      </w:pPr>
      <w:r>
        <w:drawing>
          <wp:inline distT="0" distB="0" distL="0" distR="0">
            <wp:extent cx="5213563" cy="85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13563" cy="8500000"/>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notifications to the passenger and to the driver (Observer Pattern) are both modeled as asynchronous calls.</w:t>
      </w:r>
    </w:p>
    <w:p>
      <w:pPr>
        <w:spacing w:after="80" w:before="200"/>
        <w:jc w:val="center"/>
      </w:pPr>
      <w:r>
        <w:drawing>
          <wp:inline distT="0" distB="0" distL="0" distR="0">
            <wp:extent cx="5715000" cy="39071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07194"/>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Each Fs*DAO encapsulates its own IOExceptions: on read, an error produces an empty cache, so the calling Controller simply sees an absence of data instead of a crash; on write, a SEVERE record is emitted via LoggerCustom. This design keeps the business logic completely agnostic of the persistence technology and guarantees that a transient file-system problem never propagates up to the user interface as an unhandled stack trace.</w:t>
      </w:r>
    </w:p>
    <w:p>
      <w:pPr>
        <w:pStyle w:val="Heading1"/>
        <w:spacing w:after="160" w:before="360"/>
      </w:pPr>
      <w:r>
        <w:t xml:space="preserve">6. DATABASES</w:t>
      </w:r>
    </w:p>
    <w:p>
      <w:pPr>
        <w:spacing w:after="160"/>
      </w:pPr>
      <w:r>
        <w:t xml:space="preserve">The system offers three types of data storage, selectable by changing the PERSISTENCE_TYPE constant in the com.ispw.uniride.config.Config class.</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Content</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Table</w:t>
            </w:r>
          </w:p>
        </w:tc>
        <w:tc>
          <w:tcPr>
            <w:tcW w:type="pct" w:w="75%"/>
            <w:shd w:fill="E3FAEA" w:val="clear"/>
            <w:tcMar>
              <w:top w:type="dxa" w:w="80"/>
              <w:left w:type="dxa" w:w="120"/>
              <w:bottom w:type="dxa" w:w="80"/>
              <w:right w:type="dxa" w:w="120"/>
            </w:tcMar>
            <w:vAlign w:val="center"/>
          </w:tcPr>
          <w:p>
            <w:r>
              <w:rPr>
                <w:b/>
                <w:bCs/>
                <w:sz w:val="20"/>
                <w:szCs w:val="20"/>
              </w:rPr>
              <w:t xml:space="preserve">Content</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