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21</w:t>
      </w:r>
    </w:p>
    <w:p>
      <w:pPr>
        <w:spacing w:after="90"/>
        <w:ind w:left="0"/>
      </w:pPr>
      <w:r>
        <w:t xml:space="preserve">5. EXCEPTIONS</w:t>
        <w:ptab w:alignment="right" w:relativeTo="margin" w:leader="dot"/>
        <w:t xml:space="preserve">21</w:t>
      </w:r>
    </w:p>
    <w:p>
      <w:pPr>
        <w:spacing w:after="90"/>
        <w:ind w:left="0"/>
      </w:pPr>
      <w:r>
        <w:t xml:space="preserve">6. DATABASES</w:t>
        <w:ptab w:alignment="right" w:relativeTo="margin" w:leader="dot"/>
        <w:t xml:space="preserve">22</w:t>
      </w:r>
    </w:p>
    <w:p>
      <w:pPr>
        <w:spacing w:after="90"/>
        <w:ind w:left="0"/>
      </w:pPr>
      <w:r>
        <w:t xml:space="preserve">7. SONARCLOUD</w:t>
        <w:ptab w:alignment="right" w:relativeTo="margin" w:leader="dot"/>
        <w:t xml:space="preserve">24</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