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20</w:t>
      </w:r>
    </w:p>
    <w:p>
      <w:pPr>
        <w:spacing w:after="90"/>
        <w:ind w:left="0"/>
      </w:pPr>
      <w:r>
        <w:t xml:space="preserve">5. EXCEPTIONS</w:t>
        <w:ptab w:alignment="right" w:relativeTo="margin" w:leader="dot"/>
        <w:t xml:space="preserve">20</w:t>
      </w:r>
    </w:p>
    <w:p>
      <w:pPr>
        <w:spacing w:after="90"/>
        <w:ind w:left="0"/>
      </w:pPr>
      <w:r>
        <w:t xml:space="preserve">6. DATABASES</w:t>
        <w:ptab w:alignment="right" w:relativeTo="margin" w:leader="dot"/>
        <w:t xml:space="preserve">21</w:t>
      </w:r>
    </w:p>
    <w:p>
      <w:pPr>
        <w:spacing w:after="90"/>
        <w:ind w:left="0"/>
      </w:pPr>
      <w:r>
        <w:t xml:space="preserve">7. SONARCLOUD</w:t>
        <w:ptab w:alignment="right" w:relativeTo="margin" w:leader="dot"/>
        <w:t xml:space="preserve">22</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Il sistema consente a uno studente di registrarsi con nome e cognome, username e password, e di accedere usando tali credenziali per raggiungere la propria dashboard personale. La password deve essere di almeno 6 caratteri. Gli username duplicati vengono rifiutati con un errore specifico. In fase di registrazione lo studente può facoltativamente dichiarare il proprio comune/paese di residenza, usato per suggerire le tratte e l'ateneo più vicini nelle schermate Offri/Cerca Passaggio, e un numero di telefono, convalidato in formato se presente (solo cifre, spazi ed eventuale + iniziale). Il telefono non compare mai in un elenco di ricerca pubblico: diventa visibile alla controparte solo quando esiste già una richiesta di passaggio concreta fra i due studenti, in ‘Le Mie Corse’, così da potersi accordare sul punto d'incontro.</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Il sistema consente a un guidatore autenticato di pubblicare un nuovo passaggio, specificando anche l'orario di partenza (obbligatorio, formato HH:mm), di visualizzare tutte le proprie corse offerte, di segnare una corsa come completata e di annullarla — anche con passeggeri già prenotati, nel qual caso vengono notificati tramite il Pattern Observer. Partenza e destinazione non possono coincidere, il numero di posti deve essere maggiore di zero, il costo base non può essere negativo e l'orario di partenza deve rispettare il formato HH:mm.</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 Management</w:t>
            </w:r>
          </w:p>
          <w:p>
            <w:r>
              <w:t xml:space="preserve">Il sistema consente a un passeggero autenticato di richiedere un posto su qualunque passaggio con disponibilità: il posto viene riservato immediatamente, ma la richiesta resta in stato REQUESTED finché il guidatore non la conferma (CONFIRMED) o la rifiuta (REJECTED, con conseguente rilascio del posto). Il passeggero può visualizzare le proprie richieste/prenotazioni attive e annullarle in qualsiasi momento, liberando il posto sulla corsa. Non è consentito richiedere un posto sul proprio stesso passaggio, né inviare due richieste attive sulla stessa corsa.</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suddiviso nei suoi quattro strati architetturali, seguendo il pattern Boundary-Control-Entity. Una panoramica globale di come i livelli interagiscono chiude la sezione.</w:t>
      </w:r>
    </w:p>
    <w:p>
      <w:pPr>
        <w:spacing w:after="160"/>
      </w:pPr>
      <w:r>
        <w:rPr>
          <w:i/>
          <w:iCs/>
        </w:rPr>
        <w:t xml:space="preserve">La parte Boundary:</w:t>
      </w:r>
    </w:p>
    <w:p>
      <w:pPr>
        <w:spacing w:after="80" w:before="200"/>
        <w:jc w:val="center"/>
      </w:pPr>
      <w:r>
        <w:drawing>
          <wp:inline distT="0" distB="0" distL="0" distR="0">
            <wp:extent cx="5715000" cy="48767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876703"/>
                    </a:xfrm>
                    <a:prstGeom prst="rect">
                      <a:avLst/>
                    </a:prstGeom>
                  </pic:spPr>
                </pic:pic>
              </a:graphicData>
            </a:graphic>
          </wp:inline>
        </w:drawing>
      </w:r>
    </w:p>
    <w:p>
      <w:pPr>
        <w:spacing w:after="240"/>
        <w:jc w:val="center"/>
      </w:pPr>
      <w:r>
        <w:rPr>
          <w:i/>
          <w:iCs/>
          <w:color w:val="555555"/>
          <w:sz w:val="20"/>
          <w:szCs w:val="20"/>
        </w:rPr>
        <w:t xml:space="preserve">Figura 2 — Diagramma delle classi Boundary</w:t>
      </w:r>
    </w:p>
    <w:p>
      <w:pPr>
        <w:spacing w:after="160"/>
      </w:pPr>
      <w:r>
        <w:t xml:space="preserve">Lo strato Boundary contiene esclusivamente classi che interagiscono con l'utente. Le classi controller JavaFX sono collegate alle rispettive viste FXML e scambiano solo oggetti Bean con lo strato Control, mai le Entity direttamente. Ogni Boundary gestisce da sé il caricamento del proprio FXML e lo scambio della Scene sullo Stage: non esiste una classe SceneManager centralizzata. CliMain offre un'interfaccia testuale equivalente per ambienti headless.</w:t>
      </w:r>
    </w:p>
    <w:p>
      <w:pPr>
        <w:spacing w:after="160"/>
      </w:pPr>
      <w:r>
        <w:rPr>
          <w:i/>
          <w:iCs/>
        </w:rPr>
        <w:t xml:space="preserve">La parte Control:</w:t>
      </w:r>
    </w:p>
    <w:p>
      <w:pPr>
        <w:spacing w:after="80" w:before="200"/>
        <w:jc w:val="center"/>
      </w:pPr>
      <w:r>
        <w:drawing>
          <wp:inline distT="0" distB="0" distL="0" distR="0">
            <wp:extent cx="5715000" cy="21139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13967"/>
                    </a:xfrm>
                    <a:prstGeom prst="rect">
                      <a:avLst/>
                    </a:prstGeom>
                  </pic:spPr>
                </pic:pic>
              </a:graphicData>
            </a:graphic>
          </wp:inline>
        </w:drawing>
      </w:r>
    </w:p>
    <w:p>
      <w:pPr>
        <w:spacing w:after="240"/>
        <w:jc w:val="center"/>
      </w:pPr>
      <w:r>
        <w:rPr>
          <w:i/>
          <w:iCs/>
          <w:color w:val="555555"/>
          <w:sz w:val="20"/>
          <w:szCs w:val="20"/>
        </w:rPr>
        <w:t xml:space="preserve">Figura 3 — Diagramma delle classi Control</w:t>
      </w:r>
    </w:p>
    <w:p>
      <w:pPr>
        <w:spacing w:after="160"/>
      </w:pPr>
      <w:r>
        <w:t xml:space="preserve">Lo strato Control incapsula tutta la logica di business e i casi d'uso. Ogni controller riceve i Bean dalla Boundary, li valida, orchestra le Entity e delega la persistenza allo strato DAO. Nessuna di queste classi dipende da JavaFX, il che consente agli stessi controller di servire sia la GUI sia la CLI senza modifiche. Il Singleton Session fornisce a tutti i controller l'identità dello studente attualmente autenticato.</w:t>
      </w:r>
    </w:p>
    <w:p>
      <w:pPr>
        <w:spacing w:after="160"/>
      </w:pPr>
      <w:r>
        <w:rPr>
          <w:i/>
          <w:iCs/>
        </w:rPr>
        <w:t xml:space="preserve">La parte Model (Entity):</w:t>
      </w:r>
    </w:p>
    <w:p>
      <w:pPr>
        <w:spacing w:after="80" w:before="200"/>
        <w:jc w:val="center"/>
      </w:pPr>
      <w:r>
        <w:drawing>
          <wp:inline distT="0" distB="0" distL="0" distR="0">
            <wp:extent cx="4381500" cy="81470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8147033"/>
                    </a:xfrm>
                    <a:prstGeom prst="rect">
                      <a:avLst/>
                    </a:prstGeom>
                  </pic:spPr>
                </pic:pic>
              </a:graphicData>
            </a:graphic>
          </wp:inline>
        </w:drawing>
      </w:r>
    </w:p>
    <w:p>
      <w:pPr>
        <w:spacing w:after="240"/>
        <w:jc w:val="center"/>
      </w:pPr>
      <w:r>
        <w:rPr>
          <w:i/>
          <w:iCs/>
          <w:color w:val="555555"/>
          <w:sz w:val="20"/>
          <w:szCs w:val="20"/>
        </w:rPr>
        <w:t xml:space="preserve">Figura 4 — Diagramma delle classi Entity</w:t>
      </w:r>
    </w:p>
    <w:p>
      <w:pPr>
        <w:spacing w:after="160"/>
      </w:pPr>
      <w:r>
        <w:t xml:space="preserve">Lo strato Entity rappresenta le classi di dominio. Ride è l'entità più ricca: oltre ai propri attributi possiede la lista degli observer registrati ed espone i metodi che innescano le proprie transizioni di stato (bookSeat, cancelSeat, complete, cancel), garantendo che il campo state sia sempre coerente. Booking modella lo stato di approvazione (REQUESTED/CONFIRMED/REJECTED/CANCELLED)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5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6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7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8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9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10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114800"/>
                    </a:xfrm>
                    <a:prstGeom prst="rect">
                      <a:avLst/>
                    </a:prstGeom>
                  </pic:spPr>
                </pic:pic>
              </a:graphicData>
            </a:graphic>
          </wp:inline>
        </w:drawing>
      </w:r>
    </w:p>
    <w:p>
      <w:pPr>
        <w:spacing w:after="240"/>
        <w:jc w:val="center"/>
      </w:pPr>
      <w:r>
        <w:rPr>
          <w:i/>
          <w:iCs/>
          <w:color w:val="555555"/>
          <w:sz w:val="20"/>
          <w:szCs w:val="20"/>
        </w:rPr>
        <w:t xml:space="preserve">Figura 11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che mostra il caso d'uso completo 'Richiedi Prenotazione': il passeggero seleziona un passaggio dai risultati di ricerca, SearchRideController valida la richiesta rispetto alla sessione e allo stato del Ride, riserva il posto, crea un Booking in stato REQUESTED e lo persiste.</w:t>
      </w:r>
    </w:p>
    <w:p>
      <w:pPr>
        <w:spacing w:after="80" w:before="20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00350"/>
                    </a:xfrm>
                    <a:prstGeom prst="rect">
                      <a:avLst/>
                    </a:prstGeom>
                  </pic:spPr>
                </pic:pic>
              </a:graphicData>
            </a:graphic>
          </wp:inline>
        </w:drawing>
      </w:r>
    </w:p>
    <w:p>
      <w:pPr>
        <w:spacing w:after="240"/>
        <w:jc w:val="center"/>
      </w:pPr>
      <w:r>
        <w:rPr>
          <w:i/>
          <w:iCs/>
          <w:color w:val="555555"/>
          <w:sz w:val="20"/>
          <w:szCs w:val="20"/>
        </w:rPr>
        <w:t xml:space="preserve">Figura 12 — Sequence Diagram del caso d'uso 'Richiedi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52850"/>
                    </a:xfrm>
                    <a:prstGeom prst="rect">
                      <a:avLst/>
                    </a:prstGeom>
                  </pic:spPr>
                </pic:pic>
              </a:graphicData>
            </a:graphic>
          </wp:inline>
        </w:drawing>
      </w:r>
    </w:p>
    <w:p>
      <w:pPr>
        <w:spacing w:after="240"/>
        <w:jc w:val="center"/>
      </w:pPr>
      <w:r>
        <w:rPr>
          <w:i/>
          <w:iCs/>
          <w:color w:val="555555"/>
          <w:sz w:val="20"/>
          <w:szCs w:val="20"/>
        </w:rPr>
        <w:t xml:space="preserve">Figura 13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45720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695700"/>
                    </a:xfrm>
                    <a:prstGeom prst="rect">
                      <a:avLst/>
                    </a:prstGeom>
                  </pic:spPr>
                </pic:pic>
              </a:graphicData>
            </a:graphic>
          </wp:inline>
        </w:drawing>
      </w:r>
    </w:p>
    <w:p>
      <w:pPr>
        <w:spacing w:after="240"/>
        <w:jc w:val="center"/>
      </w:pPr>
      <w:r>
        <w:rPr>
          <w:i/>
          <w:iCs/>
          <w:color w:val="555555"/>
          <w:sz w:val="20"/>
          <w:szCs w:val="20"/>
        </w:rPr>
        <w:t xml:space="preserve">Figura 14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sezione 7).</w:t>
      </w:r>
    </w:p>
    <w:p>
      <w:pPr>
        <w:pStyle w:val="Heading1"/>
        <w:spacing w:after="160" w:before="360"/>
      </w:pPr>
      <w:r>
        <w:t xml:space="preserve">5. EXCEPTIONS</w:t>
      </w:r>
    </w:p>
    <w:p>
      <w:pPr>
        <w:spacing w:after="160"/>
      </w:pPr>
      <w:r>
        <w:t xml:space="preserve">Nella gestione delle eccezioni il sistema adotta un unico approccio coerente in tutti i Controller applicativi.</w:t>
      </w:r>
    </w:p>
    <w:p>
      <w:pPr>
        <w:spacing w:after="160"/>
      </w:pPr>
      <w:r>
        <w:rPr>
          <w:b/>
          <w:bCs/>
        </w:rPr>
        <w:t xml:space="preserve">Eccezioni di validazione e di dominio</w:t>
      </w:r>
    </w:p>
    <w:p>
      <w:pPr>
        <w:spacing w:after="160"/>
      </w:pPr>
      <w:r>
        <w:t xml:space="preserve">Ogni metodo dei Controller dichiara un'eccezione checked dedicata (RideActionException, RideNotFoundException, UserNotAuthorizedException, UserNotFoundException) con un messaggio descrittivo in italiano, che la Boundary intercetta e mostra come etichetta rossa inline nella GUI o come riga di errore in console nella CLI. L'eccezione non viene quindi semplicemente propagata: è gestita interamente dallo strato che possiede l'interazione con l'utente. I messaggi attualmente definiti sono i seguenti:</w:t>
      </w:r>
    </w:p>
    <w:p>
      <w:pPr>
        <w:pStyle w:val="ListParagraph"/>
        <w:numPr>
          <w:ilvl w:val="0"/>
          <w:numId w:val="1"/>
        </w:numPr>
        <w:spacing w:after="80"/>
      </w:pPr>
      <w:r>
        <w:t xml:space="preserve">"Utente non loggato!" / "Utente non loggato! Accesso Negato alle funzioni dell'App." — nessuna sessione attiva.</w:t>
      </w:r>
    </w:p>
    <w:p>
      <w:pPr>
        <w:pStyle w:val="ListParagraph"/>
        <w:numPr>
          <w:ilvl w:val="0"/>
          <w:numId w:val="1"/>
        </w:numPr>
        <w:spacing w:after="80"/>
      </w:pPr>
      <w:r>
        <w:t xml:space="preserve">"Username già in uso!" — username duplicato in fase di registrazione.</w:t>
      </w:r>
    </w:p>
    <w:p>
      <w:pPr>
        <w:pStyle w:val="ListParagraph"/>
        <w:numPr>
          <w:ilvl w:val="0"/>
          <w:numId w:val="1"/>
        </w:numPr>
        <w:spacing w:after="80"/>
      </w:pPr>
      <w:r>
        <w:t xml:space="preserve">"La password deve essere di almeno 6 caratteri." — password troppo corta in fase di registrazione.</w:t>
      </w:r>
    </w:p>
    <w:p>
      <w:pPr>
        <w:pStyle w:val="ListParagraph"/>
        <w:numPr>
          <w:ilvl w:val="0"/>
          <w:numId w:val="1"/>
        </w:numPr>
        <w:spacing w:after="80"/>
      </w:pPr>
      <w:r>
        <w:t xml:space="preserve">"Numero di telefono non valido: usa solo cifre, spazi ed eventualmente un + iniziale." — formato del telefono non plausibile in fase di registrazione (campo facoltativo, convalidato solo se compilato).</w:t>
      </w:r>
    </w:p>
    <w:p>
      <w:pPr>
        <w:pStyle w:val="ListParagraph"/>
        <w:numPr>
          <w:ilvl w:val="0"/>
          <w:numId w:val="1"/>
        </w:numPr>
        <w:spacing w:after="80"/>
      </w:pPr>
      <w:r>
        <w:t xml:space="preserve">"Partenza e destinazione sono obbligatorie." / "Partenza e destinazione non possono coincidere." — validazione del form Offri Passaggio.</w:t>
      </w:r>
    </w:p>
    <w:p>
      <w:pPr>
        <w:pStyle w:val="ListParagraph"/>
        <w:numPr>
          <w:ilvl w:val="0"/>
          <w:numId w:val="1"/>
        </w:numPr>
        <w:spacing w:after="80"/>
      </w:pPr>
      <w:r>
        <w:t xml:space="preserve">"Il numero di posti deve essere maggiore di zero." / "Il costo base non può essere negativo." — validazione numerica del form Offri Passaggio.</w:t>
      </w:r>
    </w:p>
    <w:p>
      <w:pPr>
        <w:pStyle w:val="ListParagraph"/>
        <w:numPr>
          <w:ilvl w:val="0"/>
          <w:numId w:val="1"/>
        </w:numPr>
        <w:spacing w:after="80"/>
      </w:pPr>
      <w:r>
        <w:t xml:space="preserve">"Inserisci un orario di partenza valido (formato HH:mm, es. 08:30)." — orario di partenza mancante o mal formattato nel form Offri Passaggio.</w:t>
      </w:r>
    </w:p>
    <w:p>
      <w:pPr>
        <w:pStyle w:val="ListParagraph"/>
        <w:numPr>
          <w:ilvl w:val="0"/>
          <w:numId w:val="1"/>
        </w:numPr>
        <w:spacing w:after="80"/>
      </w:pPr>
      <w:r>
        <w:t xml:space="preserve">"Non puoi prenotare un posto sul passaggio che hai offerto tu stesso." — un guidatore ha tentato di prenotare la propria corsa.</w:t>
      </w:r>
    </w:p>
    <w:p>
      <w:pPr>
        <w:pStyle w:val="ListParagraph"/>
        <w:numPr>
          <w:ilvl w:val="0"/>
          <w:numId w:val="1"/>
        </w:numPr>
        <w:spacing w:after="80"/>
      </w:pPr>
      <w:r>
        <w:t xml:space="preserve">"Hai già una richiesta attiva per questa corsa." — richiesta duplicata sullo stesso passaggio.</w:t>
      </w:r>
    </w:p>
    <w:p>
      <w:pPr>
        <w:pStyle w:val="ListParagraph"/>
        <w:numPr>
          <w:ilvl w:val="0"/>
          <w:numId w:val="1"/>
        </w:numPr>
        <w:spacing w:after="80"/>
      </w:pPr>
      <w:r>
        <w:t xml:space="preserve">"Passaggio non trovato! Forse è già stato eliminato." / "Corsa inesistente." — id non presente in archivio.</w:t>
      </w:r>
    </w:p>
    <w:p>
      <w:pPr>
        <w:pStyle w:val="ListParagraph"/>
        <w:numPr>
          <w:ilvl w:val="0"/>
          <w:numId w:val="1"/>
        </w:numPr>
        <w:spacing w:after="80"/>
      </w:pPr>
      <w:r>
        <w:t xml:space="preserve">"Richiesta di prenotazione non trovata." / "Richiesta già gestita in precedenza." — azioni del guidatore su una Booking inesistente o già chiusa.</w:t>
      </w:r>
    </w:p>
    <w:p>
      <w:pPr>
        <w:pStyle w:val="ListParagraph"/>
        <w:numPr>
          <w:ilvl w:val="0"/>
          <w:numId w:val="1"/>
        </w:numPr>
        <w:spacing w:after="80"/>
      </w:pPr>
      <w:r>
        <w:t xml:space="preserve">"Non sei il conducente di questa corsa." — azione riservata al guidatore tentata da un altro utente.</w:t>
      </w:r>
    </w:p>
    <w:p>
      <w:pPr>
        <w:pStyle w:val="ListParagraph"/>
        <w:numPr>
          <w:ilvl w:val="0"/>
          <w:numId w:val="1"/>
        </w:numPr>
        <w:spacing w:after="80"/>
      </w:pPr>
      <w:r>
        <w:t xml:space="preserve">"Non sei prenotato a questa corsa." — annullamento di una prenotazione inesistente.</w:t>
      </w:r>
    </w:p>
    <w:p>
      <w:pPr>
        <w:pStyle w:val="ListParagraph"/>
        <w:numPr>
          <w:ilvl w:val="0"/>
          <w:numId w:val="1"/>
        </w:numPr>
        <w:spacing w:after="80"/>
      </w:pPr>
      <w:r>
        <w:t xml:space="preserve">"La corsa è già stata completata o annullata." — completamento/annullamento su uno stato già terminale.</w:t>
      </w:r>
    </w:p>
    <w:p>
      <w:pPr>
        <w:pStyle w:val="ListParagraph"/>
        <w:numPr>
          <w:ilvl w:val="0"/>
          <w:numId w:val="1"/>
        </w:numPr>
        <w:spacing w:after="80"/>
      </w:pPr>
      <w:r>
        <w:t xml:space="preserve">"Impossibile cancellare il posto in questo momento (logica di Stato)." — rollback non ammesso dal Pattern State.</w:t>
      </w:r>
    </w:p>
    <w:p>
      <w:pPr>
        <w:spacing w:after="160"/>
      </w:pPr>
      <w:r>
        <w:rPr>
          <w:b/>
          <w:bCs/>
        </w:rPr>
        <w:t xml:space="preserve">Eccezioni infrastrutturali</w:t>
      </w:r>
    </w:p>
    <w:p>
      <w:pPr>
        <w:spacing w:after="160"/>
      </w:pPr>
      <w:r>
        <w:t xml:space="preserve">Il secondo tipo di gestione riguarda non tanto l'intercettazione e il rilancio dell'eccezione ai livelli superiori, quanto la realizzazione del comportamento corretto quando una delle operazioni tentate fallisce. Ogni Fs*DAO incapsula le proprie IOException: in lettura, un errore produce una cache vuota, così che il Controller chiamante veda semplicemente l'assenza di dati invece di un crash; in scrittura, viene emesso un record SEVERE tramite LoggerCustom. Questo design mantiene la logica di business completamente agnostica rispetto alla tecnologia di persistenza e garantisce che un problema transitorio del file system non si propaghi mai fino all'interfaccia utente come uno stack trace non gestito.</w:t>
      </w:r>
    </w:p>
    <w:p>
      <w:pPr>
        <w:pStyle w:val="Heading1"/>
        <w:spacing w:after="160" w:before="360"/>
      </w:pPr>
      <w:r>
        <w:t xml:space="preserve">6. DATABASES</w:t>
      </w:r>
    </w:p>
    <w:p>
      <w:pPr>
        <w:spacing w:after="160"/>
      </w:pPr>
      <w:r>
        <w:t xml:space="preserve">Il sistema offre tre tipi di archiviazione dati, selezionabili cambiando la costante PERSISTENCE_TYPE nella classe com.ispw.uniride.config.Config.</w:t>
      </w:r>
    </w:p>
    <w:p>
      <w:pPr>
        <w:pStyle w:val="Heading2"/>
        <w:spacing w:after="120" w:before="280"/>
      </w:pPr>
      <w:r>
        <w:t xml:space="preserve">6.1. In-Memory (default)</w:t>
      </w:r>
    </w:p>
    <w:p>
      <w:pPr>
        <w:spacing w:after="160"/>
      </w:pPr>
      <w:r>
        <w:t xml:space="preserve">Nella modalità in memoria l'applicazione offre tutte le funzionalità supportate, ma tutti i dati risiedono esclusivamente in RAM e nulla viene scritto su alcun livello di persistenza. Tre HashMap (studenti, passaggi, prenotazioni), racchiuse nel Singleton MemoryStorage, tengono le entità indicizzate per identificativo, garantendo un accesso a tempo costante. Allo spegnimento dell'applicazione tutti i dati vengono persi. Questa modalità non richiede alcuna configurazione ed è quella usata dall'intera suite di test JUnit. Due utenti demo (mario.rossi e luigi.verdi, password 'password') sono precaricati con una posizione di esempio già impostata.</w:t>
      </w:r>
    </w:p>
    <w:p>
      <w:pPr>
        <w:pStyle w:val="Heading2"/>
        <w:spacing w:after="120" w:before="280"/>
      </w:pPr>
      <w:r>
        <w:t xml:space="preserve">6.2. File System</w:t>
      </w:r>
    </w:p>
    <w:p>
      <w:pPr>
        <w:spacing w:after="160"/>
      </w:pPr>
      <w:r>
        <w:t xml:space="preserve">Nella modalità file system le stesse funzionalità sono disponibili, ma i dati vengono persistiti sul file system locale in formato CSV, nella cartella radice del progetto. La distribuzione dei file è la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(facoltativo), phoneNumber (facoltativo)</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Ogni Fs*DAO fornisce accesso thread-safe tramite un lock esplicito dedicato, e mantiene una cache in memoria delle righe già interpretate, invalidata automaticamente ogni volta che cambia il timestamp di ultima modifica del file sottostante, così che modifiche concorrenti effettuate da un altro processo vengano sempre rilevate. Ogni operazione di aggiornamento ricostruisce l'intera lista in memoria e riscrive il file in un solo passaggio, evitando record parziali o corrotti.</w:t>
      </w:r>
    </w:p>
    <w:p>
      <w:pPr>
        <w:pStyle w:val="Heading2"/>
        <w:spacing w:after="120" w:before="280"/>
      </w:pPr>
      <w:r>
        <w:t xml:space="preserve">6.3. Database Relazionale</w:t>
      </w:r>
    </w:p>
    <w:p>
      <w:pPr>
        <w:spacing w:after="160"/>
      </w:pPr>
      <w:r>
        <w:t xml:space="preserve">Nella modalità SQL i dati sono persistiti su un vero database relazionale: H2 in modalità embedded (nessun server esterno da installare o configurare), raggiunto tramite JDBC standard all'URL jdbc:h2:./uniride_db;AUTO_SERVER=TRUE. A differenza delle due modalità precedenti, lo schema è normalizzato invece che appiattito in righe CSV: la relazione molti-a-molti fra un Ride e i propri passeggeri è rappresentata da una tabella di collegamento dedicata (ride_passengers) anziché da una colonna con valori multipli. Lo schema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(chiave),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(chiave),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tabella di collegamento per la relazione molti-a-molti Ride↔passeggero</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(chiave), ride_id, passenger_username, state</w:t>
            </w:r>
          </w:p>
        </w:tc>
      </w:tr>
    </w:tbl>
    <w:p>
      <w:pPr>
        <w:spacing w:after="160"/>
      </w:pPr>
      <w:r>
        <w:t xml:space="preserve">La classe JdbcSupport centralizza l'apertura della connessione e l'inizializzazione dello schema (CREATE TABLE IF NOT EXISTS, eseguito in modo sicuro a ogni avvio). Ogni Jdbc*DAO usa PreparedStatement per tutte le query, e la sintassi di upsert MERGE INTO ... KEY (...) VALUES (...), propria di H2, per salvare senza dover prima verificare se il record esiste già. Il salvataggio di un Ride è transazionale: aggiorna la riga in rides e ricostruisce l'intero contenuto di ride_passengers (delete + batch insert) all'interno della stessa transazione, così che uno stato inconsistente fra le due tabelle non sia mai osservabile dall'esterno.</w:t>
      </w:r>
    </w:p>
    <w:p>
      <w:pPr>
        <w:pStyle w:val="Heading1"/>
        <w:spacing w:after="160" w:before="360"/>
      </w:pPr>
      <w:r>
        <w:t xml:space="preserve">7. SONARCLOUD</w:t>
      </w:r>
    </w:p>
    <w:p>
      <w:pPr>
        <w:spacing w:after="160"/>
      </w:pPr>
      <w:r>
        <w:t xml:space="preserve">Il progetto è collegato a SonarCloud (sonarcloud.io) e l'analisi statica è attiva: ad ogni push e ad ogni Pull Request verso il branch di default, un workflow GitHub Actions (.github/workflows/sonarcloud.yml) compila il progetto, esegue l'intera suite JUnit 5 generando il report di copertura con JaCoCo, e infine invia i risultati a SonarCloud tramite il Sonar Maven Plugin. Il repository è collegato all'account sonarcloud.io dell'autore e il secret SONAR_TOKEN è configurato nelle impostazioni GitHub del progetto (Settings → Secrets and variables → Actions).</w:t>
      </w:r>
    </w:p>
    <w:p>
      <w:pPr>
        <w:spacing w:after="160"/>
      </w:pPr>
      <w:r>
        <w:t xml:space="preserve">Lo stato attuale della quality gate, verificato tramite l'API pubblica di SonarCloud,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Metrica</w:t>
            </w:r>
          </w:p>
        </w:tc>
        <w:tc>
          <w:tcPr>
            <w:tcW w:type="pct" w:w="40%"/>
            <w:shd w:fill="E3FAEA" w:val="clear"/>
            <w:tcMar>
              <w:top w:type="dxa" w:w="80"/>
              <w:left w:type="dxa" w:w="120"/>
              <w:bottom w:type="dxa" w:w="80"/>
              <w:right w:type="dxa" w:w="120"/>
            </w:tcMar>
            <w:vAlign w:val="center"/>
          </w:tcPr>
          <w:p>
            <w:r>
              <w:rPr>
                <w:b/>
                <w:bCs/>
                <w:sz w:val="20"/>
                <w:szCs w:val="20"/>
              </w:rPr>
              <w:t xml:space="preserve">Obiettivo</w:t>
            </w:r>
          </w:p>
        </w:tc>
        <w:tc>
          <w:tcPr>
            <w:tcW w:type="pct" w:w="30%"/>
            <w:shd w:fill="E3FAEA" w:val="clear"/>
            <w:tcMar>
              <w:top w:type="dxa" w:w="80"/>
              <w:left w:type="dxa" w:w="120"/>
              <w:bottom w:type="dxa" w:w="80"/>
              <w:right w:type="dxa" w:w="120"/>
            </w:tcMar>
            <w:vAlign w:val="center"/>
          </w:tcPr>
          <w:p>
            <w:r>
              <w:rPr>
                <w:b/>
                <w:bCs/>
                <w:sz w:val="20"/>
                <w:szCs w:val="20"/>
              </w:rPr>
              <w:t xml:space="preserve">Stato attuale</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Vulnerabilità</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maggiore del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escluso, vedi nota)</w:t>
            </w:r>
          </w:p>
        </w:tc>
      </w:tr>
      <w:tr>
        <w:tc>
          <w:tcPr>
            <w:tcW w:type="pct" w:w="30%"/>
            <w:tcMar>
              <w:top w:type="dxa" w:w="80"/>
              <w:left w:type="dxa" w:w="120"/>
              <w:bottom w:type="dxa" w:w="80"/>
              <w:right w:type="dxa" w:w="120"/>
            </w:tcMar>
            <w:vAlign w:val="center"/>
          </w:tcPr>
          <w:p>
            <w:r>
              <w:rPr>
                <w:b w:val="false"/>
                <w:bCs w:val="false"/>
                <w:sz w:val="20"/>
                <w:szCs w:val="20"/>
              </w:rPr>
              <w:t xml:space="preserve">Duplicazioni</w:t>
            </w:r>
          </w:p>
        </w:tc>
        <w:tc>
          <w:tcPr>
            <w:tcW w:type="pct" w:w="40%"/>
            <w:tcMar>
              <w:top w:type="dxa" w:w="80"/>
              <w:left w:type="dxa" w:w="120"/>
              <w:bottom w:type="dxa" w:w="80"/>
              <w:right w:type="dxa" w:w="120"/>
            </w:tcMar>
            <w:vAlign w:val="center"/>
          </w:tcPr>
          <w:p>
            <w:r>
              <w:rPr>
                <w:b w:val="false"/>
                <w:bCs w:val="false"/>
                <w:sz w:val="20"/>
                <w:szCs w:val="20"/>
              </w:rPr>
              <w:t xml:space="preserve">inferiori al 3%</w:t>
            </w:r>
          </w:p>
        </w:tc>
        <w:tc>
          <w:tcPr>
            <w:tcW w:type="pct" w:w="30%"/>
            <w:tcMar>
              <w:top w:type="dxa" w:w="80"/>
              <w:left w:type="dxa" w:w="120"/>
              <w:bottom w:type="dxa" w:w="80"/>
              <w:right w:type="dxa" w:w="120"/>
            </w:tcMar>
            <w:vAlign w:val="center"/>
          </w:tcPr>
          <w:p>
            <w:r>
              <w:rPr>
                <w:b w:val="false"/>
                <w:bCs w:val="false"/>
                <w:sz w:val="20"/>
                <w:szCs w:val="20"/>
              </w:rPr>
              <w:t xml:space="preserve">6,7% (non richiesto dal corso, vedi nota)</w:t>
            </w:r>
          </w:p>
        </w:tc>
      </w:tr>
    </w:tbl>
    <w:p>
      <w:pPr>
        <w:spacing w:after="160"/>
      </w:pPr>
      <w:r>
        <w:rPr>
          <w:i w:val="true"/>
          <w:iCs w:val="true"/>
        </w:rPr>
        <w:t xml:space="preserve">Nota sulla coverage: come indicato dal materiale del corso ("nell’analisi effettuata tramite Sonar è necessario escludere le componenti grafiche"), lo strato Boundary (controller grafici JavaFX e relativa CLI) è escluso dal calcolo della coverage tramite sonar.coverage.exclusions in pom.xml, non contenendo per definizione BCE logica applicativa e richiedendo un framework di UI testing dedicato per essere unit-testato in modo significativo. La percentuale di duplicazione non è un vincolo richiesto dal corso.</w:t>
      </w:r>
    </w:p>
    <w:p>
      <w:pPr>
        <w:spacing w:after="160"/>
      </w:pPr>
      <w:r>
        <w:t xml:space="preserve">Le principali regole a cui il codice è stato conformato sono elencate di seguito:</w:t>
      </w:r>
    </w:p>
    <w:p>
      <w:pPr>
        <w:pStyle w:val="ListParagraph"/>
        <w:numPr>
          <w:ilvl w:val="0"/>
          <w:numId w:val="1"/>
        </w:numPr>
        <w:spacing w:after="80"/>
      </w:pPr>
      <w:r>
        <w:t xml:space="preserve">Nessuna chiamata System.out.print al di fuori del confine CLI — tutto il logging applicativo passa dal LoggerCustom centralizzato (l'unica eccezione tollerata riguarda le classi *CLI e CliMain, escluse esplicitamente dalla regola S106 in pom.xml perché devono necessariamente stampare a console in assenza di una GUI).</w:t>
      </w:r>
    </w:p>
    <w:p>
      <w:pPr>
        <w:pStyle w:val="ListParagraph"/>
        <w:numPr>
          <w:ilvl w:val="0"/>
          <w:numId w:val="1"/>
        </w:numPr>
        <w:spacing w:after="80"/>
      </w:pPr>
      <w:r>
        <w:t xml:space="preserve">Nessun raw type — ogni collezione è parametrizzata, ad esempio List&lt;Ride&gt; e Map&lt;String, Student&gt;.</w:t>
      </w:r>
    </w:p>
    <w:p>
      <w:pPr>
        <w:pStyle w:val="ListParagraph"/>
        <w:numPr>
          <w:ilvl w:val="0"/>
          <w:numId w:val="1"/>
        </w:numPr>
        <w:spacing w:after="80"/>
      </w:pPr>
      <w:r>
        <w:t xml:space="preserve">Nessun blocco catch vuoto — ogni catch registra tramite LoggerCustom oppure rilancia con contesto aggiuntivo.</w:t>
      </w:r>
    </w:p>
    <w:p>
      <w:pPr>
        <w:pStyle w:val="ListParagraph"/>
        <w:numPr>
          <w:ilvl w:val="0"/>
          <w:numId w:val="1"/>
        </w:numPr>
        <w:spacing w:after="80"/>
      </w:pPr>
      <w:r>
        <w:t xml:space="preserve">Single Responsibility rispettato — le classi Boundary non contengono logica di business e le classi Control non importano JavaFX.</w:t>
      </w:r>
    </w:p>
    <w:p>
      <w:pPr>
        <w:pStyle w:val="ListParagraph"/>
        <w:numPr>
          <w:ilvl w:val="0"/>
          <w:numId w:val="1"/>
        </w:numPr>
        <w:spacing w:after="80"/>
      </w:pPr>
      <w:r>
        <w:t xml:space="preserve">Immutabilità dove possibile — costanti finali per gli stati di Booking, campi final nei DAO referenziati dai Controller.</w:t>
      </w:r>
    </w:p>
    <w:p>
      <w:pPr>
        <w:spacing w:after="160"/>
      </w:pPr>
      <w:r>
        <w:t xml:space="preserve">I risultati aggiornati dell'analisi sono consultabili in ogni momento sulla dashboard pubblica del progetto su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