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15</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18</w:t>
      </w:r>
    </w:p>
    <w:p>
      <w:pPr>
        <w:spacing w:after="90"/>
        <w:ind w:left="0"/>
      </w:pPr>
      <w:r>
        <w:t xml:space="preserve">DELIVERABLE LINKS</w:t>
        <w:ptab w:alignment="right" w:relativeTo="margin" w:leader="dot"/>
        <w:t xml:space="preserve">18</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Autenticazione</w:t>
            </w:r>
          </w:p>
          <w:p>
            <w:r>
              <w:t xml:space="preserve">Il sistema consente a uno studente di registrarsi con username, password e dati anagrafici, e di accedere con le proprie credenziali.</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Gestione Passaggio</w:t>
            </w:r>
          </w:p>
          <w:p>
            <w:r>
              <w:t xml:space="preserve">Il sistema consente a un guidatore autenticato di pubblicare, completare o annullare un proprio passaggio.</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Prenotazione</w:t>
            </w:r>
          </w:p>
          <w:p>
            <w:r>
              <w:t xml:space="preserve">Il sistema consente a un passeggero autenticato di cercare un passaggio disponibile e richiedere un posto, riservato immediatamente.</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Gestione delle Richieste</w:t>
            </w:r>
          </w:p>
          <w:p>
            <w:r>
              <w:t xml:space="preserve">Il sistema consente al guidatore di confermare o rifiutare una richiesta di prenotazione, e a entrambe le parti di annullarla in qualunque momento.</w:t>
            </w:r>
          </w:p>
        </w:tc>
      </w:tr>
    </w:tbl>
    <w:p>
      <w:pPr>
        <w:spacing w:after="120" w:before="240"/>
      </w:pPr>
      <w:r>
        <w:rPr>
          <w:b/>
          <w:bCs/>
          <w:i/>
          <w:iCs/>
        </w:rPr>
        <w:t xml:space="preserve">Glossario:</w:t>
      </w:r>
    </w:p>
    <w:p>
      <w:pPr>
        <w:spacing w:after="100"/>
      </w:pPr>
      <w:r>
        <w:rPr>
          <w:i/>
          <w:iCs/>
        </w:rPr>
        <w:t xml:space="preserve">Passaggio (Ride)</w:t>
      </w:r>
      <w:r>
        <w:t xml:space="preserve"> = Un tragitto offerto da uno studente guidatore, con partenza, destinazione, data, orario, posti disponibili e costo base.</w:t>
      </w:r>
    </w:p>
    <w:p>
      <w:pPr>
        <w:spacing w:after="100"/>
      </w:pPr>
      <w:r>
        <w:rPr>
          <w:i/>
          <w:iCs/>
        </w:rPr>
        <w:t xml:space="preserve">Richiesta di Prenotazione (Booking)</w:t>
      </w:r>
      <w:r>
        <w:t xml:space="preserve"> = La richiesta di un passeggero di occupare un posto su un Passaggio: il posto viene riservato subito, ma resta in attesa di conferma del guidatore.</w:t>
      </w:r>
    </w:p>
    <w:p>
      <w:pPr>
        <w:spacing w:after="100"/>
      </w:pPr>
      <w:r>
        <w:rPr>
          <w:i/>
          <w:iCs/>
        </w:rPr>
        <w:t xml:space="preserve">Ateneo più vicino</w:t>
      </w:r>
      <w:r>
        <w:t xml:space="preserve"> = Il campus universitario, tra quelli noti al sistema, geograficamente più vicino alla posizione dichiarata dallo studente; suggerito come destinazione predefinita in Offri/Cerca Passaggio.</w:t>
      </w:r>
    </w:p>
    <w:p>
      <w:pPr>
        <w:spacing w:after="100"/>
      </w:pPr>
      <w:r>
        <w:rPr>
          <w:i/>
          <w:iCs/>
        </w:rPr>
        <w:t xml:space="preserve">Stato del Passaggio</w:t>
      </w:r>
      <w:r>
        <w:t xml:space="preserve"> = La fase del ciclo di vita di un Passaggio (AVAILABLE, FULL, COMPLETED, CANCELLED), governata dal Pattern State.</w:t>
      </w:r>
    </w:p>
    <w:p>
      <w:pPr>
        <w:spacing w:after="100"/>
      </w:pPr>
      <w:r>
        <w:rPr>
          <w:i/>
          <w:iCs/>
        </w:rPr>
        <w:t xml:space="preserve">Stato della Richiesta</w:t>
      </w:r>
      <w:r>
        <w:t xml:space="preserve"> = La fase del ciclo di vita di una Richiesta di Prenotazione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5060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506058"/>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Studente</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in un unico diagramma combinato, con le classi raggruppate nelle quattro fasce colorate del pattern Boundary-Control-Entity, più lo strato Bean per i DTO che attraversano i confini architetturali. Le famiglie DAO, troppo numerose per restare leggibili nello stesso diagramma, sono illustrate separatamente subito dopo; una panoramica globale di come tutti i livelli interagiscono chiude la sezione.</w:t>
      </w:r>
    </w:p>
    <w:p>
      <w:pPr>
        <w:spacing w:after="80" w:before="200"/>
        <w:jc w:val="center"/>
      </w:pPr>
      <w:r>
        <w:drawing>
          <wp:inline distT="0" distB="0" distL="0" distR="0">
            <wp:extent cx="5715000" cy="38265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26565"/>
                    </a:xfrm>
                    <a:prstGeom prst="rect">
                      <a:avLst/>
                    </a:prstGeom>
                  </pic:spPr>
                </pic:pic>
              </a:graphicData>
            </a:graphic>
          </wp:inline>
        </w:drawing>
      </w:r>
    </w:p>
    <w:p>
      <w:pPr>
        <w:spacing w:after="240"/>
        <w:jc w:val="center"/>
      </w:pPr>
      <w:r>
        <w:rPr>
          <w:i/>
          <w:iCs/>
          <w:color w:val="555555"/>
          <w:sz w:val="20"/>
          <w:szCs w:val="20"/>
        </w:rPr>
        <w:t xml:space="preserve">Figura 2 — Diagramma delle classi combinato: Boundary, Bean, Control ed Entity</w:t>
      </w:r>
    </w:p>
    <w:p>
      <w:pPr>
        <w:spacing w:after="160"/>
      </w:pPr>
      <w:r>
        <w:t xml:space="preserve">Lo strato Boundary contiene esclusivamente classi che interagiscono con l'utente: i controller JavaFX collegati alle rispettive viste FXML scambiano solo oggetti Bean con lo strato Control, mai le Entity direttamente. Ogni Boundary gestisce da sé il caricamento del proprio FXML e lo scambio della Scene sullo Stage: non esiste una classe SceneManager centralizzata (CliMain e i vari *CLI offrono un'interfaccia testuale equivalente per ambienti headless, omessi qui per non appesantire il diagramma). Lo strato Bean racchiude i DTO (RideBean, BookingBean, UserBean) che attraversano il confine Boundary↔Control: nessuna Entity lascia mai lo strato di dominio verso la UI. Lo strato Control incapsula tutta la logica di business: ogni controller riceve i Bean dalla Boundary, li valida, orchestra le Entity e delega la persistenza allo strato DAO (illustrato separatamente subito dopo); nessuna di queste classi dipende da JavaFX, il che consente agli stessi controller di servire sia la GUI sia la CLI senza modifiche. Il Singleton Session fornisce a tutti i controller l'identità dello studente attualmente autenticato. Lo strato Entity rappresenta infine le classi di dominio: Ride è l'entità più ricca, con la lista degli observer registrati e i metodi che innescano le proprie transizioni di stato (bookSeat, cancelSeat, complete, cancel); Booking modella lo stato di approvazione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3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4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5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6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7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8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4767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767360"/>
                    </a:xfrm>
                    <a:prstGeom prst="rect">
                      <a:avLst/>
                    </a:prstGeom>
                  </pic:spPr>
                </pic:pic>
              </a:graphicData>
            </a:graphic>
          </wp:inline>
        </w:drawing>
      </w:r>
    </w:p>
    <w:p>
      <w:pPr>
        <w:spacing w:after="240"/>
        <w:jc w:val="center"/>
      </w:pPr>
      <w:r>
        <w:rPr>
          <w:i/>
          <w:iCs/>
          <w:color w:val="555555"/>
          <w:sz w:val="20"/>
          <w:szCs w:val="20"/>
        </w:rPr>
        <w:t xml:space="preserve">Figura 9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esteso dal login fino alla richiesta di prenotazione: lo studente accede (LoginController verifica le credenziali tramite StudentDAO e apre la sessione), naviga verso 'Cerca Passaggio', ottiene i risultati disponibili da RideDAO e infine seleziona un passaggio. SearchRideController valida la richiesta rispetto alla sessione e allo stato del Ride, riserva il posto, crea un Booking in stato REQUESTED e lo persiste; la notifica al passeggero (Pattern Observer) è modellata come chiamata asincrona.</w:t>
      </w:r>
    </w:p>
    <w:p>
      <w:pPr>
        <w:spacing w:after="80" w:before="200"/>
        <w:jc w:val="center"/>
      </w:pPr>
      <w:r>
        <w:drawing>
          <wp:inline distT="0" distB="0" distL="0" distR="0">
            <wp:extent cx="5715000" cy="45322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532243"/>
                    </a:xfrm>
                    <a:prstGeom prst="rect">
                      <a:avLst/>
                    </a:prstGeom>
                  </pic:spPr>
                </pic:pic>
              </a:graphicData>
            </a:graphic>
          </wp:inline>
        </w:drawing>
      </w:r>
    </w:p>
    <w:p>
      <w:pPr>
        <w:spacing w:after="240"/>
        <w:jc w:val="center"/>
      </w:pPr>
      <w:r>
        <w:rPr>
          <w:i/>
          <w:iCs/>
          <w:color w:val="555555"/>
          <w:sz w:val="20"/>
          <w:szCs w:val="20"/>
        </w:rPr>
        <w:t xml:space="preserve">Figura 10 — Sequence Diagram del flusso login → ricerca → richiesta 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1664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16642"/>
                    </a:xfrm>
                    <a:prstGeom prst="rect">
                      <a:avLst/>
                    </a:prstGeom>
                  </pic:spPr>
                </pic:pic>
              </a:graphicData>
            </a:graphic>
          </wp:inline>
        </w:drawing>
      </w:r>
    </w:p>
    <w:p>
      <w:pPr>
        <w:spacing w:after="240"/>
        <w:jc w:val="center"/>
      </w:pPr>
      <w:r>
        <w:rPr>
          <w:i/>
          <w:iCs/>
          <w:color w:val="555555"/>
          <w:sz w:val="20"/>
          <w:szCs w:val="20"/>
        </w:rPr>
        <w:t xml:space="preserve">Figura 11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3657600" cy="34117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3411761"/>
                    </a:xfrm>
                    <a:prstGeom prst="rect">
                      <a:avLst/>
                    </a:prstGeom>
                  </pic:spPr>
                </pic:pic>
              </a:graphicData>
            </a:graphic>
          </wp:inline>
        </w:drawing>
      </w:r>
    </w:p>
    <w:p>
      <w:pPr>
        <w:spacing w:after="240"/>
        <w:jc w:val="center"/>
      </w:pPr>
      <w:r>
        <w:rPr>
          <w:i/>
          <w:iCs/>
          <w:color w:val="555555"/>
          <w:sz w:val="20"/>
          <w:szCs w:val="20"/>
        </w:rPr>
        <w:t xml:space="preserve">Figura 12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Deliverable Links a fine documento).</w:t>
      </w:r>
    </w:p>
    <w:p>
      <w:pPr>
        <w:pStyle w:val="Heading1"/>
        <w:spacing w:after="160" w:before="360"/>
      </w:pPr>
      <w:r>
        <w:t xml:space="preserve">DELIVERABLE LINKS</w:t>
      </w:r>
    </w:p>
    <w:p>
      <w:pPr>
        <w:spacing w:after="160"/>
      </w:pPr>
      <w:r>
        <w:t xml:space="preserve">Come richiesto dalle Final Project Detailed Instructions, i deliverable delle sezioni 5 (Code) e 6 (Video) non sono riportati per intero in questo PDF, ma referenziati tramite i link seguenti.</w:t>
      </w:r>
    </w:p>
    <w:p>
      <w:pPr>
        <w:spacing w:after="140"/>
      </w:pPr>
      <w:r>
        <w:rPr>
          <w:b/>
          <w:bCs/>
        </w:rPr>
        <w:t xml:space="preserve">Codice sorgente (comprende anche i test JUnit)</w:t>
      </w:r>
      <w:r>
        <w:br/>
        <w:t xml:space="preserve">https://github.com/AlessioCarta/ISPW</w:t>
      </w:r>
    </w:p>
    <w:p>
      <w:pPr>
        <w:spacing w:after="140"/>
      </w:pPr>
      <w:r>
        <w:rPr>
          <w:b/>
          <w:bCs/>
        </w:rPr>
        <w:t xml:space="preserve">Analisi statica del codice (SonarCloud — 0 bug, 0 vulnerabilità, 0 code smell)</w:t>
      </w:r>
      <w:r>
        <w:br/>
        <w:t xml:space="preserve">https://sonarcloud.io/project/overview?id=AlessioCarta_ISPW</w:t>
      </w:r>
    </w:p>
    <w:p>
      <w:pPr>
        <w:spacing w:after="140"/>
      </w:pPr>
      <w:r>
        <w:rPr>
          <w:b/>
          <w:bCs/>
        </w:rPr>
        <w:t xml:space="preserve">Video dimostrativo (1–2 minuti, con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