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
    <w:p>
      <w:pPr>
        <w:pStyle w:val="Heading1"/>
      </w:pPr>
      <w:r>
        <w:t xml:space="preserve">Parti</w:t>
      </w:r>
    </w:p>
    <w:p>
      <w:pPr>
        <w:pStyle w:val="FirstParagraph"/>
      </w:pPr>
      <w:r>
        <w:rPr>
          <w:b/>
          <w:bCs/>
        </w:rPr>
        <w:t xml:space="preserve">Elvira Vigliano</w:t>
      </w:r>
      <w:r>
        <w:t xml:space="preserve">, libera professionista, titolare del marchio TALES&amp;TONGUES – Metodo TALES, con domicilio professionale in Viella dei Ricciardi 11, Centurano, 81100 Caserta (CE), P.IVA 04549600619, email elvira@talesntongues.it (email alternativa evigliano.counseling@gmail.com), telefono +39 327 217 7940 (la</w:t>
      </w:r>
      <w:r>
        <w:t xml:space="preserve"> </w:t>
      </w:r>
      <w:r>
        <w:rPr>
          <w:b/>
          <w:bCs/>
        </w:rPr>
        <w:t xml:space="preserve">“Consulente”</w:t>
      </w:r>
      <w:r>
        <w:t xml:space="preserve">);</w:t>
      </w:r>
    </w:p>
    <w:p>
      <w:pPr>
        <w:pStyle w:val="BodyText"/>
      </w:pPr>
      <w:r>
        <w:t xml:space="preserve">e</w:t>
      </w:r>
    </w:p>
    <w:p>
      <w:pPr>
        <w:pStyle w:val="BodyText"/>
      </w:pPr>
      <w:r>
        <w:rPr>
          <w:b/>
          <w:bCs/>
        </w:rPr>
        <w:t xml:space="preserve">Punti di Vista S.r.l.</w:t>
      </w:r>
      <w:r>
        <w:t xml:space="preserve">, con sede legale in Via Spagnuolo 24, 80020 Frattaminore (NA), P.IVA 03549951212, in persona del legale rappresentante Erminio Borrelli, email puntidivistaitaly@gmail.com, telefono +39 081 836 2039, WhatsApp +39 335 818 2181 (l’</w:t>
      </w:r>
      <w:r>
        <w:rPr>
          <w:b/>
          <w:bCs/>
        </w:rPr>
        <w:t xml:space="preserve">“Azienda”</w:t>
      </w:r>
      <w:r>
        <w:t xml:space="preserve">);</w:t>
      </w:r>
    </w:p>
    <w:p>
      <w:pPr>
        <w:pStyle w:val="BodyText"/>
      </w:pPr>
      <w:r>
        <w:t xml:space="preserve">singolarmente una</w:t>
      </w:r>
      <w:r>
        <w:t xml:space="preserve"> </w:t>
      </w:r>
      <w:r>
        <w:rPr>
          <w:b/>
          <w:bCs/>
        </w:rPr>
        <w:t xml:space="preserve">“Parte”</w:t>
      </w:r>
      <w:r>
        <w:t xml:space="preserve"> </w:t>
      </w:r>
      <w:r>
        <w:t xml:space="preserve">e insieme le</w:t>
      </w:r>
      <w:r>
        <w:t xml:space="preserve"> </w:t>
      </w:r>
      <w:r>
        <w:rPr>
          <w:b/>
          <w:bCs/>
        </w:rPr>
        <w:t xml:space="preserve">“Parti”</w:t>
      </w:r>
      <w:r>
        <w:t xml:space="preserve">.</w:t>
      </w:r>
    </w:p>
    <w:bookmarkEnd w:id="20"/>
    <w:bookmarkStart w:id="21" w:name="premesse"/>
    <w:p>
      <w:pPr>
        <w:pStyle w:val="Heading1"/>
      </w:pPr>
      <w:r>
        <w:t xml:space="preserve">Premesse</w:t>
      </w:r>
    </w:p>
    <w:p>
      <w:pPr>
        <w:pStyle w:val="FirstParagraph"/>
      </w:pPr>
      <w:r>
        <w:t xml:space="preserve">A. L’Azienda produce e distribuisce prodotti professionali per il settore beauty e dispone di un proprio ufficio export.</w:t>
      </w:r>
    </w:p>
    <w:p>
      <w:pPr>
        <w:pStyle w:val="BodyText"/>
      </w:pPr>
      <w:r>
        <w:t xml:space="preserve">B. La Consulente svolge attività di consulenza per lo sviluppo commerciale internazionale delle imprese, utilizzando un proprio metodo di lavoro denominato Metodo TALES.</w:t>
      </w:r>
    </w:p>
    <w:p>
      <w:pPr>
        <w:pStyle w:val="BodyText"/>
      </w:pPr>
      <w:r>
        <w:t xml:space="preserve">C. L’Azienda intende avvalersi della Consulente per sviluppare opportunità commerciali negli Emirati Arabi Uniti e nel Regno Unito, alle condizioni che seguono.</w:t>
      </w:r>
    </w:p>
    <w:p>
      <w:pPr>
        <w:pStyle w:val="BodyText"/>
      </w:pPr>
      <w:r>
        <w:t xml:space="preserve">Le premesse e gli allegati fanno parte integrante del contratto.</w:t>
      </w:r>
    </w:p>
    <w:bookmarkEnd w:id="21"/>
    <w:bookmarkStart w:id="22" w:name="oggetto"/>
    <w:p>
      <w:pPr>
        <w:pStyle w:val="Heading1"/>
      </w:pPr>
      <w:r>
        <w:t xml:space="preserve">1. Oggetto</w:t>
      </w:r>
    </w:p>
    <w:p>
      <w:pPr>
        <w:pStyle w:val="FirstParagraph"/>
      </w:pPr>
      <w:r>
        <w:rPr>
          <w:b/>
          <w:bCs/>
        </w:rPr>
        <w:t xml:space="preserve">1.1</w:t>
      </w:r>
      <w:r>
        <w:t xml:space="preserve"> Il contratto disciplina la collaborazione professionale tra la Consulente e l’Azienda per attività di sviluppo commerciale internazionale sui mercati indicati all’articolo 2.</w:t>
      </w:r>
    </w:p>
    <w:p>
      <w:pPr>
        <w:pStyle w:val="BodyText"/>
      </w:pPr>
      <w:r>
        <w:rPr>
          <w:b/>
          <w:bCs/>
        </w:rPr>
        <w:t xml:space="preserve">1.2</w:t>
      </w:r>
      <w:r>
        <w:t xml:space="preserve"> La collaborazione comprende:</w:t>
      </w:r>
    </w:p>
    <w:p>
      <w:pPr>
        <w:pStyle w:val="Compact"/>
        <w:numPr>
          <w:ilvl w:val="0"/>
          <w:numId w:val="1001"/>
        </w:numPr>
      </w:pPr>
      <w:r>
        <w:t xml:space="preserve">analisi di mercato e segmentazione degli operatori esteri;</w:t>
      </w:r>
    </w:p>
    <w:p>
      <w:pPr>
        <w:pStyle w:val="Compact"/>
        <w:numPr>
          <w:ilvl w:val="0"/>
          <w:numId w:val="1001"/>
        </w:numPr>
      </w:pPr>
      <w:r>
        <w:t xml:space="preserve">individuazione e qualificazione di distributori, importatori e partner commerciali;</w:t>
      </w:r>
    </w:p>
    <w:p>
      <w:pPr>
        <w:pStyle w:val="Compact"/>
        <w:numPr>
          <w:ilvl w:val="0"/>
          <w:numId w:val="1001"/>
        </w:numPr>
      </w:pPr>
      <w:r>
        <w:t xml:space="preserve">verifica preliminare dei requisiti normativi e doganali applicabili ai mercati indicati;</w:t>
      </w:r>
    </w:p>
    <w:p>
      <w:pPr>
        <w:pStyle w:val="Compact"/>
        <w:numPr>
          <w:ilvl w:val="0"/>
          <w:numId w:val="1001"/>
        </w:numPr>
      </w:pPr>
      <w:r>
        <w:t xml:space="preserve">preparazione e adattamento di materiali commerciali in lingua inglese;</w:t>
      </w:r>
    </w:p>
    <w:p>
      <w:pPr>
        <w:pStyle w:val="Compact"/>
        <w:numPr>
          <w:ilvl w:val="0"/>
          <w:numId w:val="1001"/>
        </w:numPr>
      </w:pPr>
      <w:r>
        <w:t xml:space="preserve">supporto operativo nella gestione dei primi contatti e delle trattative;</w:t>
      </w:r>
    </w:p>
    <w:p>
      <w:pPr>
        <w:pStyle w:val="Compact"/>
        <w:numPr>
          <w:ilvl w:val="0"/>
          <w:numId w:val="1001"/>
        </w:numPr>
      </w:pPr>
      <w:r>
        <w:t xml:space="preserve">coordinamento con l’ufficio export dell’Azienda.</w:t>
      </w:r>
    </w:p>
    <w:p>
      <w:pPr>
        <w:pStyle w:val="FirstParagraph"/>
      </w:pPr>
      <w:r>
        <w:rPr>
          <w:b/>
          <w:bCs/>
        </w:rPr>
        <w:t xml:space="preserve">1.3</w:t>
      </w:r>
      <w:r>
        <w:t xml:space="preserve"> La Consulente opera in modo complementare all’ufficio export dell’Azienda e non in sua sostituzione.</w:t>
      </w:r>
    </w:p>
    <w:p>
      <w:pPr>
        <w:pStyle w:val="BodyText"/>
      </w:pPr>
      <w:r>
        <w:rPr>
          <w:b/>
          <w:bCs/>
        </w:rPr>
        <w:t xml:space="preserve">1.4</w:t>
      </w:r>
      <w:r>
        <w:t xml:space="preserve"> Le verifiche sui requisiti normativi e doganali hanno natura preliminare e informativa e non costituiscono consulenza legale, regolatoria, doganale o fiscale. Gli adempimenti necessari per vendere nei mercati indicati, tra cui la registrazione dei prodotti presso le autorità degli Emirati Arabi Uniti (sistema Montaji), la notifica dei prodotti cosmetici nel Regno Unito (SCPN) e la designazione della Responsible Person prevista dalla normativa britannica, restano a carico e sotto la responsabilità dell’Azienda e dei professionisti abilitati da essa incaricati.</w:t>
      </w:r>
    </w:p>
    <w:bookmarkEnd w:id="22"/>
    <w:bookmarkStart w:id="23" w:name="mercati-e-attività"/>
    <w:p>
      <w:pPr>
        <w:pStyle w:val="Heading1"/>
      </w:pPr>
      <w:r>
        <w:t xml:space="preserve">2. Mercati e attività</w:t>
      </w:r>
    </w:p>
    <w:p>
      <w:pPr>
        <w:pStyle w:val="FirstParagraph"/>
      </w:pPr>
      <w:r>
        <w:rPr>
          <w:b/>
          <w:bCs/>
        </w:rPr>
        <w:t xml:space="preserve">2.1</w:t>
      </w:r>
      <w:r>
        <w:t xml:space="preserve"> La collaborazione riguarda i seguenti mercati:</w:t>
      </w:r>
    </w:p>
    <w:p>
      <w:pPr>
        <w:pStyle w:val="Compact"/>
        <w:numPr>
          <w:ilvl w:val="0"/>
          <w:numId w:val="1002"/>
        </w:numPr>
      </w:pPr>
      <w:r>
        <w:rPr>
          <w:b/>
          <w:bCs/>
        </w:rPr>
        <w:t xml:space="preserve">Emirati Arabi Uniti:</w:t>
      </w:r>
      <w:r>
        <w:t xml:space="preserve"> </w:t>
      </w:r>
      <w:r>
        <w:t xml:space="preserve">canale professional beauty; distributori, importatori e partner commerciali.</w:t>
      </w:r>
    </w:p>
    <w:p>
      <w:pPr>
        <w:pStyle w:val="Compact"/>
        <w:numPr>
          <w:ilvl w:val="0"/>
          <w:numId w:val="1002"/>
        </w:numPr>
      </w:pPr>
      <w:r>
        <w:rPr>
          <w:b/>
          <w:bCs/>
        </w:rPr>
        <w:t xml:space="preserve">Regno Unito:</w:t>
      </w:r>
      <w:r>
        <w:t xml:space="preserve"> </w:t>
      </w:r>
      <w:r>
        <w:t xml:space="preserve">ingresso nel mercato, distribuzione, verifica preliminare degli aspetti di conformità successivi alla Brexit.</w:t>
      </w:r>
    </w:p>
    <w:p>
      <w:pPr>
        <w:pStyle w:val="FirstParagraph"/>
      </w:pPr>
      <w:r>
        <w:rPr>
          <w:b/>
          <w:bCs/>
        </w:rPr>
        <w:t xml:space="preserve">2.2</w:t>
      </w:r>
      <w:r>
        <w:t xml:space="preserve"> Gli Stati Uniti sono esclusi. Altri mercati potranno essere aggiunti solo con accordo scritto tra le Parti, che ne stabilirà attività e corrispettivo.</w:t>
      </w:r>
    </w:p>
    <w:p>
      <w:pPr>
        <w:pStyle w:val="BodyText"/>
      </w:pPr>
      <w:r>
        <w:rPr>
          <w:b/>
          <w:bCs/>
        </w:rPr>
        <w:t xml:space="preserve">2.3</w:t>
      </w:r>
      <w:r>
        <w:t xml:space="preserve"> Le attività si svolgono in tre fasi, descritte in dettaglio, con i relativi documenti da consegnare, nell’</w:t>
      </w:r>
      <w:r>
        <w:rPr>
          <w:b/>
          <w:bCs/>
        </w:rPr>
        <w:t xml:space="preserve">Allegato A</w:t>
      </w:r>
      <w:r>
        <w:t xml:space="preserve">:</w:t>
      </w:r>
    </w:p>
    <w:p>
      <w:pPr>
        <w:pStyle w:val="Compact"/>
        <w:numPr>
          <w:ilvl w:val="0"/>
          <w:numId w:val="1003"/>
        </w:numPr>
      </w:pPr>
      <w:r>
        <w:rPr>
          <w:b/>
          <w:bCs/>
        </w:rPr>
        <w:t xml:space="preserve">Mese 1 – Analisi e qualificazione:</w:t>
      </w:r>
      <w:r>
        <w:t xml:space="preserve"> </w:t>
      </w:r>
      <w:r>
        <w:t xml:space="preserve">analisi delle linee di prodotto compatibili con i mercati indicati e del posizionamento commerciale; verifica preliminare dei requisiti applicabili, inclusi gli adempimenti indicati dall’Azienda come rilevanti (Montaji per gli Emirati Arabi Uniti, SCPN per il Regno Unito); mappatura degli operatori; shortlist qualificata, con la motivazione commerciale di ciascun interlocutore.</w:t>
      </w:r>
    </w:p>
    <w:p>
      <w:pPr>
        <w:pStyle w:val="Compact"/>
        <w:numPr>
          <w:ilvl w:val="0"/>
          <w:numId w:val="1003"/>
        </w:numPr>
      </w:pPr>
      <w:r>
        <w:rPr>
          <w:b/>
          <w:bCs/>
        </w:rPr>
        <w:t xml:space="preserve">Mese 2 – Contatto e qualificazione:</w:t>
      </w:r>
      <w:r>
        <w:t xml:space="preserve"> </w:t>
      </w:r>
      <w:r>
        <w:t xml:space="preserve">contatto diretto con gli operatori selezionati; gestione dei primi contatti; partecipazione, ove prevista, alle prime call conoscitive; qualificazione degli interlocutori (portafoglio, canali distributivi, mercati serviti, apertura a nuovi marchi, compatibilità commerciale); individuazione del decisore; raccolta e organizzazione delle informazioni emerse.</w:t>
      </w:r>
    </w:p>
    <w:p>
      <w:pPr>
        <w:pStyle w:val="Compact"/>
        <w:numPr>
          <w:ilvl w:val="0"/>
          <w:numId w:val="1003"/>
        </w:numPr>
      </w:pPr>
      <w:r>
        <w:rPr>
          <w:b/>
          <w:bCs/>
        </w:rPr>
        <w:t xml:space="preserve">Mese 3 – Attivazione e report:</w:t>
      </w:r>
      <w:r>
        <w:t xml:space="preserve"> </w:t>
      </w:r>
      <w:r>
        <w:t xml:space="preserve">follow-up degli interlocutori qualificati; supporto nella gestione delle opportunità in corso; materiali commerciali personalizzati; organizzazione delle informazioni sulle trattative; report finale con i prossimi passi consigliati.</w:t>
      </w:r>
    </w:p>
    <w:p>
      <w:pPr>
        <w:pStyle w:val="FirstParagraph"/>
      </w:pPr>
      <w:r>
        <w:rPr>
          <w:b/>
          <w:bCs/>
        </w:rPr>
        <w:t xml:space="preserve">2.4</w:t>
      </w:r>
      <w:r>
        <w:t xml:space="preserve"> Le attività si svolgono a distanza (email, telefono, LinkedIn, videochiamate). Trasferte, partecipazione a fiere e incontri in presenza non sono inclusi e si svolgono solo se concordati per iscritto, alle condizioni dell’articolo 4.3.</w:t>
      </w:r>
    </w:p>
    <w:bookmarkEnd w:id="23"/>
    <w:bookmarkStart w:id="24" w:name="durata"/>
    <w:p>
      <w:pPr>
        <w:pStyle w:val="Heading1"/>
      </w:pPr>
      <w:r>
        <w:t xml:space="preserve">3. Durata</w:t>
      </w:r>
    </w:p>
    <w:p>
      <w:pPr>
        <w:pStyle w:val="FirstParagraph"/>
      </w:pPr>
      <w:r>
        <w:rPr>
          <w:b/>
          <w:bCs/>
        </w:rPr>
        <w:t xml:space="preserve">3.1</w:t>
      </w:r>
      <w:r>
        <w:t xml:space="preserve"> Il contratto ha durata di</w:t>
      </w:r>
      <w:r>
        <w:t xml:space="preserve"> </w:t>
      </w:r>
      <w:r>
        <w:rPr>
          <w:b/>
          <w:bCs/>
        </w:rPr>
        <w:t xml:space="preserve">3 mesi</w:t>
      </w:r>
      <w:r>
        <w:t xml:space="preserve"> </w:t>
      </w:r>
      <w:r>
        <w:t xml:space="preserve">dalla data di avvio, che coincide con la data di sottoscrizione salvo diversa data indicata per iscritto dalle Parti. Per</w:t>
      </w:r>
      <w:r>
        <w:t xml:space="preserve"> </w:t>
      </w:r>
      <w:r>
        <w:rPr>
          <w:b/>
          <w:bCs/>
        </w:rPr>
        <w:t xml:space="preserve">“mese di collaborazione”</w:t>
      </w:r>
      <w:r>
        <w:t xml:space="preserve"> </w:t>
      </w:r>
      <w:r>
        <w:t xml:space="preserve">si intende ciascun periodo di un mese che decorre dalla data di avvio.</w:t>
      </w:r>
    </w:p>
    <w:p>
      <w:pPr>
        <w:pStyle w:val="BodyText"/>
      </w:pPr>
      <w:r>
        <w:rPr>
          <w:b/>
          <w:bCs/>
        </w:rPr>
        <w:t xml:space="preserve">3.2</w:t>
      </w:r>
      <w:r>
        <w:t xml:space="preserve"> Il contratto cessa alla scadenza senza rinnovo automatico. Almeno 15 giorni prima della scadenza le Parti valutano insieme l’eventuale prosecuzione, che dovrà essere concordata per iscritto con le relative condizioni operative ed economiche.</w:t>
      </w:r>
    </w:p>
    <w:bookmarkEnd w:id="24"/>
    <w:bookmarkStart w:id="25" w:name="corrispettivo-spese-e-pagamenti"/>
    <w:p>
      <w:pPr>
        <w:pStyle w:val="Heading1"/>
      </w:pPr>
      <w:r>
        <w:t xml:space="preserve">4. Corrispettivo, spese e pagamenti</w:t>
      </w:r>
    </w:p>
    <w:p>
      <w:pPr>
        <w:pStyle w:val="FirstParagraph"/>
      </w:pPr>
      <w:r>
        <w:rPr>
          <w:b/>
          <w:bCs/>
        </w:rPr>
        <w:t xml:space="preserve">4.1</w:t>
      </w:r>
      <w:r>
        <w:t xml:space="preserve"> Il corrispettivo è di</w:t>
      </w:r>
      <w:r>
        <w:t xml:space="preserve"> </w:t>
      </w:r>
      <w:r>
        <w:rPr>
          <w:b/>
          <w:bCs/>
        </w:rPr>
        <w:t xml:space="preserve">€ 500,00 al mese</w:t>
      </w:r>
      <w:r>
        <w:t xml:space="preserve">, per un totale di</w:t>
      </w:r>
      <w:r>
        <w:t xml:space="preserve"> </w:t>
      </w:r>
      <w:r>
        <w:rPr>
          <w:b/>
          <w:bCs/>
        </w:rPr>
        <w:t xml:space="preserve">€ 1.500,00</w:t>
      </w:r>
      <w:r>
        <w:t xml:space="preserve"> </w:t>
      </w:r>
      <w:r>
        <w:t xml:space="preserve">per i 3 mesi, oltre IVA e oneri previdenziali di legge, se dovuti. Il corrispettivo remunera le attività descritte nel contratto e nell’Allegato A.</w:t>
      </w:r>
    </w:p>
    <w:p>
      <w:pPr>
        <w:pStyle w:val="BodyText"/>
      </w:pPr>
      <w:r>
        <w:rPr>
          <w:b/>
          <w:bCs/>
        </w:rPr>
        <w:t xml:space="preserve">4.2</w:t>
      </w:r>
      <w:r>
        <w:t xml:space="preserve"> Il corrispettivo è dovuto per le attività svolte e non dipende dal numero di contatti, trattative o contratti ottenuti.</w:t>
      </w:r>
    </w:p>
    <w:p>
      <w:pPr>
        <w:pStyle w:val="BodyText"/>
      </w:pPr>
      <w:r>
        <w:rPr>
          <w:b/>
          <w:bCs/>
        </w:rPr>
        <w:t xml:space="preserve">4.3</w:t>
      </w:r>
      <w:r>
        <w:t xml:space="preserve"> Non sono comprese nel corrispettivo le spese per trasferte, fiere, campioni e spedizioni, traduzioni giurate, banche dati o servizi a pagamento richiesti per l’attività. Tali spese sono a carico dell’Azienda solo se approvate per iscritto in anticipo (è sufficiente l’email) e sono rimborsate entro 30 giorni dalla presentazione dei giustificativi. I campioni di prodotto sono spediti direttamente dall’Azienda.</w:t>
      </w:r>
    </w:p>
    <w:p>
      <w:pPr>
        <w:pStyle w:val="BodyText"/>
      </w:pPr>
      <w:r>
        <w:rPr>
          <w:b/>
          <w:bCs/>
        </w:rPr>
        <w:t xml:space="preserve">4.4</w:t>
      </w:r>
      <w:r>
        <w:t xml:space="preserve"> Il pagamento avviene con la modalità scelta di seguito:</w:t>
      </w:r>
    </w:p>
    <w:p>
      <w:pPr>
        <w:pStyle w:val="BodyText"/>
      </w:pPr>
      <w:r>
        <w:t xml:space="preserve">☐</w:t>
      </w:r>
      <w:r>
        <w:t xml:space="preserve"> </w:t>
      </w:r>
      <w:r>
        <w:rPr>
          <w:b/>
          <w:bCs/>
        </w:rPr>
        <w:t xml:space="preserve">A) Pagamento mensile anticipato:</w:t>
      </w:r>
      <w:r>
        <w:t xml:space="preserve"> </w:t>
      </w:r>
      <w:r>
        <w:t xml:space="preserve">€ 500,00, oltre IVA e oneri se dovuti, entro 5 giorni dall’inizio di ciascun mese di collaborazione; la prima rata è versata alla sottoscrizione.</w:t>
      </w:r>
    </w:p>
    <w:p>
      <w:pPr>
        <w:pStyle w:val="BodyText"/>
      </w:pPr>
      <w:r>
        <w:t xml:space="preserve">☐</w:t>
      </w:r>
      <w:r>
        <w:t xml:space="preserve"> </w:t>
      </w:r>
      <w:r>
        <w:rPr>
          <w:b/>
          <w:bCs/>
        </w:rPr>
        <w:t xml:space="preserve">B) Pagamento anticipato in unica soluzione:</w:t>
      </w:r>
      <w:r>
        <w:t xml:space="preserve"> </w:t>
      </w:r>
      <w:r>
        <w:t xml:space="preserve">€ 1.500,00, oltre IVA e oneri se dovuti, alla sottoscrizione.</w:t>
      </w:r>
    </w:p>
    <w:p>
      <w:pPr>
        <w:pStyle w:val="BodyText"/>
      </w:pPr>
      <w:r>
        <w:rPr>
          <w:b/>
          <w:bCs/>
        </w:rPr>
        <w:t xml:space="preserve">4.5</w:t>
      </w:r>
      <w:r>
        <w:t xml:space="preserve"> I pagamenti si effettuano con bonifico bancario sul conto intestato a Elvira Vigliano, IBAN IT45E0347501605CC0011272620, con causale</w:t>
      </w:r>
      <w:r>
        <w:t xml:space="preserve"> </w:t>
      </w:r>
      <w:r>
        <w:t xml:space="preserve">“Collaborazione export Punti di Vista – [mese o periodo di riferimento]”</w:t>
      </w:r>
      <w:r>
        <w:t xml:space="preserve">.</w:t>
      </w:r>
    </w:p>
    <w:p>
      <w:pPr>
        <w:pStyle w:val="BodyText"/>
      </w:pPr>
      <w:r>
        <w:rPr>
          <w:b/>
          <w:bCs/>
        </w:rPr>
        <w:t xml:space="preserve">4.6</w:t>
      </w:r>
      <w:r>
        <w:t xml:space="preserve"> La Consulente emette regolare fattura secondo il regime fiscale applicabile.</w:t>
      </w:r>
    </w:p>
    <w:p>
      <w:pPr>
        <w:pStyle w:val="BodyText"/>
      </w:pPr>
      <w:r>
        <w:rPr>
          <w:b/>
          <w:bCs/>
        </w:rPr>
        <w:t xml:space="preserve">4.7</w:t>
      </w:r>
      <w:r>
        <w:t xml:space="preserve"> In caso di ritardo nei pagamenti decorrono, senza necessità di messa in mora, gli interessi moratori previsti dal D.Lgs. 231/2002. Se il ritardo supera 10 giorni, la Consulente può sospendere le attività, con avviso scritto, fino al pagamento; la sospensione non costituisce inadempimento e le consegne previste slittano di un periodo pari alla sospensione.</w:t>
      </w:r>
    </w:p>
    <w:bookmarkEnd w:id="25"/>
    <w:bookmarkStart w:id="26" w:name="obblighi-della-consulente"/>
    <w:p>
      <w:pPr>
        <w:pStyle w:val="Heading1"/>
      </w:pPr>
      <w:r>
        <w:t xml:space="preserve">5. Obblighi della Consulente</w:t>
      </w:r>
    </w:p>
    <w:p>
      <w:pPr>
        <w:pStyle w:val="FirstParagraph"/>
      </w:pPr>
      <w:r>
        <w:t xml:space="preserve">La Consulente si impegna a:</w:t>
      </w:r>
    </w:p>
    <w:p>
      <w:pPr>
        <w:pStyle w:val="Compact"/>
        <w:numPr>
          <w:ilvl w:val="0"/>
          <w:numId w:val="1004"/>
        </w:numPr>
      </w:pPr>
      <w:r>
        <w:t xml:space="preserve">svolgere le attività con diligenza e professionalità, nel perimetro concordato;</w:t>
      </w:r>
    </w:p>
    <w:p>
      <w:pPr>
        <w:pStyle w:val="Compact"/>
        <w:numPr>
          <w:ilvl w:val="0"/>
          <w:numId w:val="1004"/>
        </w:numPr>
      </w:pPr>
      <w:r>
        <w:t xml:space="preserve">presentarsi agli operatori esteri come consulente esterna incaricata dello sviluppo export dell’Azienda;</w:t>
      </w:r>
    </w:p>
    <w:p>
      <w:pPr>
        <w:pStyle w:val="Compact"/>
        <w:numPr>
          <w:ilvl w:val="0"/>
          <w:numId w:val="1004"/>
        </w:numPr>
      </w:pPr>
      <w:r>
        <w:t xml:space="preserve">non assumere obbligazioni in nome e per conto dell’Azienda né concordare prezzi o condizioni commerciali senza autorizzazione scritta;</w:t>
      </w:r>
    </w:p>
    <w:p>
      <w:pPr>
        <w:pStyle w:val="Compact"/>
        <w:numPr>
          <w:ilvl w:val="0"/>
          <w:numId w:val="1004"/>
        </w:numPr>
      </w:pPr>
      <w:r>
        <w:t xml:space="preserve">fornire shortlist di interlocutori qualificati, accompagnate, ove possibile, dalla motivazione commerciale;</w:t>
      </w:r>
    </w:p>
    <w:p>
      <w:pPr>
        <w:pStyle w:val="Compact"/>
        <w:numPr>
          <w:ilvl w:val="0"/>
          <w:numId w:val="1004"/>
        </w:numPr>
      </w:pPr>
      <w:r>
        <w:t xml:space="preserve">fornire i report previsti all’articolo 10;</w:t>
      </w:r>
    </w:p>
    <w:p>
      <w:pPr>
        <w:pStyle w:val="Compact"/>
        <w:numPr>
          <w:ilvl w:val="0"/>
          <w:numId w:val="1004"/>
        </w:numPr>
      </w:pPr>
      <w:r>
        <w:t xml:space="preserve">coordinarsi con l’ufficio export dell’Azienda;</w:t>
      </w:r>
    </w:p>
    <w:p>
      <w:pPr>
        <w:pStyle w:val="Compact"/>
        <w:numPr>
          <w:ilvl w:val="0"/>
          <w:numId w:val="1004"/>
        </w:numPr>
      </w:pPr>
      <w:r>
        <w:t xml:space="preserve">comunicare tempestivamente ogni elemento che possa incidere sullo svolgimento delle attività.</w:t>
      </w:r>
    </w:p>
    <w:bookmarkEnd w:id="26"/>
    <w:bookmarkStart w:id="27" w:name="obblighi-dellazienda"/>
    <w:p>
      <w:pPr>
        <w:pStyle w:val="Heading1"/>
      </w:pPr>
      <w:r>
        <w:t xml:space="preserve">6. Obblighi dell’Azienda</w:t>
      </w:r>
    </w:p>
    <w:p>
      <w:pPr>
        <w:pStyle w:val="FirstParagraph"/>
      </w:pPr>
      <w:r>
        <w:rPr>
          <w:b/>
          <w:bCs/>
        </w:rPr>
        <w:t xml:space="preserve">6.1</w:t>
      </w:r>
      <w:r>
        <w:t xml:space="preserve"> L’Azienda si impegna a:</w:t>
      </w:r>
    </w:p>
    <w:p>
      <w:pPr>
        <w:pStyle w:val="Compact"/>
        <w:numPr>
          <w:ilvl w:val="0"/>
          <w:numId w:val="1005"/>
        </w:numPr>
      </w:pPr>
      <w:r>
        <w:t xml:space="preserve">fornire alla Consulente le informazioni necessarie allo svolgimento dell’attività;</w:t>
      </w:r>
    </w:p>
    <w:p>
      <w:pPr>
        <w:pStyle w:val="Compact"/>
        <w:numPr>
          <w:ilvl w:val="0"/>
          <w:numId w:val="1005"/>
        </w:numPr>
      </w:pPr>
      <w:r>
        <w:t xml:space="preserve">mettere a disposizione cataloghi, schede prodotto, listini e altri materiali commerciali esistenti;</w:t>
      </w:r>
    </w:p>
    <w:p>
      <w:pPr>
        <w:pStyle w:val="Compact"/>
        <w:numPr>
          <w:ilvl w:val="0"/>
          <w:numId w:val="1005"/>
        </w:numPr>
      </w:pPr>
      <w:r>
        <w:t xml:space="preserve">comunicare tempestivamente le variazioni relative a prodotti, prezzi, condizioni commerciali e disponibilità;</w:t>
      </w:r>
    </w:p>
    <w:p>
      <w:pPr>
        <w:pStyle w:val="Compact"/>
        <w:numPr>
          <w:ilvl w:val="0"/>
          <w:numId w:val="1005"/>
        </w:numPr>
      </w:pPr>
      <w:r>
        <w:t xml:space="preserve">indicare un referente interno per il coordinamento;</w:t>
      </w:r>
    </w:p>
    <w:p>
      <w:pPr>
        <w:pStyle w:val="Compact"/>
        <w:numPr>
          <w:ilvl w:val="0"/>
          <w:numId w:val="1005"/>
        </w:numPr>
      </w:pPr>
      <w:r>
        <w:t xml:space="preserve">dare riscontro sulle opportunità e sui materiali sottoposti dalla Consulente</w:t>
      </w:r>
      <w:r>
        <w:t xml:space="preserve"> </w:t>
      </w:r>
      <w:r>
        <w:rPr>
          <w:b/>
          <w:bCs/>
        </w:rPr>
        <w:t xml:space="preserve">entro 5 giorni lavorativi</w:t>
      </w:r>
      <w:r>
        <w:t xml:space="preserve">;</w:t>
      </w:r>
    </w:p>
    <w:p>
      <w:pPr>
        <w:pStyle w:val="Compact"/>
        <w:numPr>
          <w:ilvl w:val="0"/>
          <w:numId w:val="1005"/>
        </w:numPr>
      </w:pPr>
      <w:r>
        <w:t xml:space="preserve">comunicare i vincoli produttivi, logistici, commerciali o normativi rilevanti per i mercati indicati.</w:t>
      </w:r>
    </w:p>
    <w:p>
      <w:pPr>
        <w:pStyle w:val="FirstParagraph"/>
      </w:pPr>
      <w:r>
        <w:rPr>
          <w:b/>
          <w:bCs/>
        </w:rPr>
        <w:t xml:space="preserve">6.2</w:t>
      </w:r>
      <w:r>
        <w:t xml:space="preserve"> I ritardi dell’Azienda nei riscontri o nella consegna dei materiali fanno slittare in misura corrispondente le consegne della Consulente e non costituiscono inadempimento di quest’ultima.</w:t>
      </w:r>
    </w:p>
    <w:p>
      <w:pPr>
        <w:pStyle w:val="BodyText"/>
      </w:pPr>
      <w:r>
        <w:rPr>
          <w:b/>
          <w:bCs/>
        </w:rPr>
        <w:t xml:space="preserve">6.3</w:t>
      </w:r>
      <w:r>
        <w:t xml:space="preserve"> L’Azienda autorizza la Consulente a usare il proprio nome, i propri marchi e i propri materiali commerciali solo per le attività del contratto e per la sua durata.</w:t>
      </w:r>
    </w:p>
    <w:p>
      <w:pPr>
        <w:pStyle w:val="BodyText"/>
      </w:pPr>
      <w:r>
        <w:rPr>
          <w:b/>
          <w:bCs/>
        </w:rPr>
        <w:t xml:space="preserve">6.4</w:t>
      </w:r>
      <w:r>
        <w:t xml:space="preserve"> L’Azienda garantisce che le informazioni e i materiali forniti sono veritieri e che dispone dei diritti per farli utilizzare, e tiene indenne la Consulente da pretese di terzi relative ai prodotti, alla loro conformità normativa, alle etichette e alle affermazioni commerciali fornite dall’Azienda.</w:t>
      </w:r>
    </w:p>
    <w:bookmarkEnd w:id="27"/>
    <w:bookmarkStart w:id="28" w:name="riservatezza"/>
    <w:p>
      <w:pPr>
        <w:pStyle w:val="Heading1"/>
      </w:pPr>
      <w:r>
        <w:t xml:space="preserve">7. Riservatezza</w:t>
      </w:r>
    </w:p>
    <w:p>
      <w:pPr>
        <w:pStyle w:val="FirstParagraph"/>
      </w:pPr>
      <w:r>
        <w:rPr>
          <w:b/>
          <w:bCs/>
        </w:rPr>
        <w:t xml:space="preserve">7.1</w:t>
      </w:r>
      <w:r>
        <w:t xml:space="preserve"> Le Parti mantengono riservate le informazioni commerciali, tecniche, economiche e strategiche scambiate nell’ambito della collaborazione e le usano solo per le finalità del contratto.</w:t>
      </w:r>
    </w:p>
    <w:p>
      <w:pPr>
        <w:pStyle w:val="BodyText"/>
      </w:pPr>
      <w:r>
        <w:rPr>
          <w:b/>
          <w:bCs/>
        </w:rPr>
        <w:t xml:space="preserve">7.2</w:t>
      </w:r>
      <w:r>
        <w:t xml:space="preserve"> L’obbligo non riguarda le informazioni già pubbliche, già note alla Parte che le riceve per fonte lecita o di cui la legge o un’autorità impone la comunicazione.</w:t>
      </w:r>
    </w:p>
    <w:p>
      <w:pPr>
        <w:pStyle w:val="BodyText"/>
      </w:pPr>
      <w:r>
        <w:rPr>
          <w:b/>
          <w:bCs/>
        </w:rPr>
        <w:t xml:space="preserve">7.3</w:t>
      </w:r>
      <w:r>
        <w:t xml:space="preserve"> L’obbligo vale per tutta la durata del contratto e per i</w:t>
      </w:r>
      <w:r>
        <w:t xml:space="preserve"> </w:t>
      </w:r>
      <w:r>
        <w:rPr>
          <w:b/>
          <w:bCs/>
        </w:rPr>
        <w:t xml:space="preserve">3 anni</w:t>
      </w:r>
      <w:r>
        <w:t xml:space="preserve"> </w:t>
      </w:r>
      <w:r>
        <w:t xml:space="preserve">successivi alla sua cessazione. Alla cessazione, su richiesta, ciascuna Parte restituisce o distrugge i materiali riservati ricevuti dall’altra.</w:t>
      </w:r>
    </w:p>
    <w:bookmarkEnd w:id="28"/>
    <w:bookmarkStart w:id="29" w:name="materiali-e-metodo-tales"/>
    <w:p>
      <w:pPr>
        <w:pStyle w:val="Heading1"/>
      </w:pPr>
      <w:r>
        <w:t xml:space="preserve">8. Materiali e Metodo TALES</w:t>
      </w:r>
    </w:p>
    <w:p>
      <w:pPr>
        <w:pStyle w:val="FirstParagraph"/>
      </w:pPr>
      <w:r>
        <w:rPr>
          <w:b/>
          <w:bCs/>
        </w:rPr>
        <w:t xml:space="preserve">8.1</w:t>
      </w:r>
      <w:r>
        <w:t xml:space="preserve"> I documenti prodotti specificamente per l’Azienda (report, shortlist, checklist, materiali commerciali personalizzati) possono essere utilizzati liberamente dall’Azienda per la propria attività, a seguito dell’integrale pagamento dei corrispettivi dovuti.</w:t>
      </w:r>
    </w:p>
    <w:p>
      <w:pPr>
        <w:pStyle w:val="BodyText"/>
      </w:pPr>
      <w:r>
        <w:rPr>
          <w:b/>
          <w:bCs/>
        </w:rPr>
        <w:t xml:space="preserve">8.2</w:t>
      </w:r>
      <w:r>
        <w:t xml:space="preserve"> Restano di esclusiva proprietà della Consulente il Metodo TALES e il relativo marchio, le metodologie, i framework, i processi, i modelli operativi, le strutture di analisi, il know-how professionale, gli strumenti sviluppati o utilizzati prima della collaborazione e quelli sviluppati in forma generale e non riferiti specificamente all’Azienda. Il contratto non comporta alcuna cessione o licenza di tali diritti.</w:t>
      </w:r>
    </w:p>
    <w:p>
      <w:pPr>
        <w:pStyle w:val="BodyText"/>
      </w:pPr>
      <w:r>
        <w:rPr>
          <w:b/>
          <w:bCs/>
        </w:rPr>
        <w:t xml:space="preserve">8.3</w:t>
      </w:r>
      <w:r>
        <w:t xml:space="preserve"> L’Azienda non riproduce né comunica a terzi i modelli e gli strumenti del Metodo TALES ricevuti nel corso della collaborazione.</w:t>
      </w:r>
    </w:p>
    <w:p>
      <w:pPr>
        <w:pStyle w:val="BodyText"/>
      </w:pPr>
      <w:r>
        <w:rPr>
          <w:b/>
          <w:bCs/>
        </w:rPr>
        <w:t xml:space="preserve">8.4</w:t>
      </w:r>
      <w:r>
        <w:t xml:space="preserve"> Con il previo consenso scritto dell’Azienda, la Consulente può citarla come cliente e usare dati aggregati e anonimizzati per portfolio, casi studio o comunicazione professionale.</w:t>
      </w:r>
    </w:p>
    <w:bookmarkEnd w:id="29"/>
    <w:bookmarkStart w:id="30" w:name="responsabilità"/>
    <w:p>
      <w:pPr>
        <w:pStyle w:val="Heading1"/>
      </w:pPr>
      <w:r>
        <w:t xml:space="preserve">9. Responsabilità</w:t>
      </w:r>
    </w:p>
    <w:p>
      <w:pPr>
        <w:pStyle w:val="FirstParagraph"/>
      </w:pPr>
      <w:r>
        <w:rPr>
          <w:b/>
          <w:bCs/>
        </w:rPr>
        <w:t xml:space="preserve">9.1</w:t>
      </w:r>
      <w:r>
        <w:t xml:space="preserve"> La Consulente svolge le attività con la massima diligenza professionale. La sua è un’obbligazione di mezzi: non garantisce risultati specifici in termini di contratti conclusi, ordini acquisiti o fatturato.</w:t>
      </w:r>
    </w:p>
    <w:p>
      <w:pPr>
        <w:pStyle w:val="BodyText"/>
      </w:pPr>
      <w:r>
        <w:rPr>
          <w:b/>
          <w:bCs/>
        </w:rPr>
        <w:t xml:space="preserve">9.2</w:t>
      </w:r>
      <w:r>
        <w:t xml:space="preserve"> I risultati commerciali dipendono anche da fattori che la Consulente non controlla, tra cui qualità, competitività, prezzi e disponibilità dei prodotti, capacità produttiva, condizioni logistiche, requisiti normativi, decisioni degli operatori esteri, tempi di risposta dell’Azienda, condizioni dei mercati e fattori economici e politici esterni.</w:t>
      </w:r>
    </w:p>
    <w:p>
      <w:pPr>
        <w:pStyle w:val="BodyText"/>
      </w:pPr>
      <w:r>
        <w:rPr>
          <w:b/>
          <w:bCs/>
        </w:rPr>
        <w:t xml:space="preserve">9.3</w:t>
      </w:r>
      <w:r>
        <w:t xml:space="preserve"> Salvo i casi di dolo o colpa grave, la responsabilità complessiva della Consulente per il contratto è limitata all’importo dei corrispettivi effettivamente percepiti.</w:t>
      </w:r>
    </w:p>
    <w:bookmarkEnd w:id="30"/>
    <w:bookmarkStart w:id="31" w:name="report-e-indicatori"/>
    <w:p>
      <w:pPr>
        <w:pStyle w:val="Heading1"/>
      </w:pPr>
      <w:r>
        <w:t xml:space="preserve">10. Report e indicatori</w:t>
      </w:r>
    </w:p>
    <w:p>
      <w:pPr>
        <w:pStyle w:val="FirstParagraph"/>
      </w:pPr>
      <w:r>
        <w:rPr>
          <w:b/>
          <w:bCs/>
        </w:rPr>
        <w:t xml:space="preserve">10.1</w:t>
      </w:r>
      <w:r>
        <w:t xml:space="preserve"> Alla fine di ciascun mese di collaborazione la Consulente invia un report sintetico che indica, ove applicabile: operatori analizzati e qualificati, decisori individuati, interlocutori raggiunti, risposte ricevute, conversazioni avviate, opportunità in corso, principali ostacoli e prossimi passi consigliati. Il report finale è consegnato entro 10 giorni dalla scadenza del contratto.</w:t>
      </w:r>
    </w:p>
    <w:p>
      <w:pPr>
        <w:pStyle w:val="BodyText"/>
      </w:pPr>
      <w:r>
        <w:rPr>
          <w:b/>
          <w:bCs/>
        </w:rPr>
        <w:t xml:space="preserve">10.2</w:t>
      </w:r>
      <w:r>
        <w:t xml:space="preserve"> Le Parti possono concordare call di allineamento settimanali o bisettimanali.</w:t>
      </w:r>
    </w:p>
    <w:p>
      <w:pPr>
        <w:pStyle w:val="BodyText"/>
      </w:pPr>
      <w:r>
        <w:rPr>
          <w:b/>
          <w:bCs/>
        </w:rPr>
        <w:t xml:space="preserve">10.3</w:t>
      </w:r>
      <w:r>
        <w:t xml:space="preserve"> Gli indicatori servono a monitorare l’attività e non costituiscono garanzia di risultato economico.</w:t>
      </w:r>
    </w:p>
    <w:bookmarkEnd w:id="31"/>
    <w:bookmarkStart w:id="32" w:name="recesso-e-risoluzione"/>
    <w:p>
      <w:pPr>
        <w:pStyle w:val="Heading1"/>
      </w:pPr>
      <w:r>
        <w:t xml:space="preserve">11. Recesso e risoluzione</w:t>
      </w:r>
    </w:p>
    <w:p>
      <w:pPr>
        <w:pStyle w:val="FirstParagraph"/>
      </w:pPr>
      <w:r>
        <w:rPr>
          <w:b/>
          <w:bCs/>
        </w:rPr>
        <w:t xml:space="preserve">11.1</w:t>
      </w:r>
      <w:r>
        <w:t xml:space="preserve"> Ciascuna Parte può recedere dal contratto con comunicazione scritta e un preavviso di</w:t>
      </w:r>
      <w:r>
        <w:t xml:space="preserve"> </w:t>
      </w:r>
      <w:r>
        <w:rPr>
          <w:b/>
          <w:bCs/>
        </w:rPr>
        <w:t xml:space="preserve">15 giorni</w:t>
      </w:r>
      <w:r>
        <w:t xml:space="preserve">.</w:t>
      </w:r>
    </w:p>
    <w:p>
      <w:pPr>
        <w:pStyle w:val="BodyText"/>
      </w:pPr>
      <w:r>
        <w:rPr>
          <w:b/>
          <w:bCs/>
        </w:rPr>
        <w:t xml:space="preserve">11.2</w:t>
      </w:r>
      <w:r>
        <w:t xml:space="preserve"> In caso di recesso dell’Azienda restano dovuti alla Consulente i corrispettivi dei mesi di collaborazione già iniziati alla data in cui il recesso ha effetto, oltre alle spese approvate già sostenute. Se l’Azienda ha pagato in unica soluzione, la Consulente restituisce entro 30 giorni gli importi relativi ai mesi non ancora iniziati.</w:t>
      </w:r>
    </w:p>
    <w:p>
      <w:pPr>
        <w:pStyle w:val="BodyText"/>
      </w:pPr>
      <w:r>
        <w:rPr>
          <w:b/>
          <w:bCs/>
        </w:rPr>
        <w:t xml:space="preserve">11.3</w:t>
      </w:r>
      <w:r>
        <w:t xml:space="preserve"> In caso di recesso della Consulente, il corrispettivo del mese in corso è dovuto in proporzione ai giorni di attività svolti e la Consulente consegna il lavoro svolto fino a quel momento; gli importi eventualmente pagati in eccedenza sono restituiti entro 30 giorni.</w:t>
      </w:r>
    </w:p>
    <w:p>
      <w:pPr>
        <w:pStyle w:val="BodyText"/>
      </w:pPr>
      <w:r>
        <w:rPr>
          <w:b/>
          <w:bCs/>
        </w:rPr>
        <w:t xml:space="preserve">11.4</w:t>
      </w:r>
      <w:r>
        <w:t xml:space="preserve"> Ciascuna Parte può risolvere il contratto ai sensi dell’art. 1456 c.c., con comunicazione scritta, se l’altra viola gli obblighi di riservatezza dell’articolo 7. La Consulente può inoltre risolverlo se un pagamento resta insoluto per oltre 30 giorni dalla scadenza.</w:t>
      </w:r>
    </w:p>
    <w:p>
      <w:pPr>
        <w:pStyle w:val="BodyText"/>
      </w:pPr>
      <w:r>
        <w:rPr>
          <w:b/>
          <w:bCs/>
        </w:rPr>
        <w:t xml:space="preserve">11.5</w:t>
      </w:r>
      <w:r>
        <w:t xml:space="preserve"> Alla cessazione del contratto, per qualunque causa, restano efficaci gli articoli 7, 8 e 9.</w:t>
      </w:r>
    </w:p>
    <w:bookmarkEnd w:id="32"/>
    <w:bookmarkStart w:id="33" w:name="natura-del-rapporto"/>
    <w:p>
      <w:pPr>
        <w:pStyle w:val="Heading1"/>
      </w:pPr>
      <w:r>
        <w:t xml:space="preserve">12. Natura del rapporto</w:t>
      </w:r>
    </w:p>
    <w:p>
      <w:pPr>
        <w:pStyle w:val="FirstParagraph"/>
      </w:pPr>
      <w:r>
        <w:rPr>
          <w:b/>
          <w:bCs/>
        </w:rPr>
        <w:t xml:space="preserve">12.1</w:t>
      </w:r>
      <w:r>
        <w:t xml:space="preserve"> Il contratto costituisce un rapporto di collaborazione professionale autonoma. La Consulente organizza liberamente la propria attività, senza vincolo di subordinazione, e può avvalersi di propri collaboratori e di strumenti software, anche basati sull’intelligenza artificiale, sotto la propria responsabilità e nel rispetto dell’articolo 7.</w:t>
      </w:r>
    </w:p>
    <w:p>
      <w:pPr>
        <w:pStyle w:val="BodyText"/>
      </w:pPr>
      <w:r>
        <w:rPr>
          <w:b/>
          <w:bCs/>
        </w:rPr>
        <w:t xml:space="preserve">12.2</w:t>
      </w:r>
      <w:r>
        <w:t xml:space="preserve"> Il contratto non costituisce rapporto di lavoro subordinato, associazione, società, agenzia o rappresentanza commerciale.</w:t>
      </w:r>
    </w:p>
    <w:p>
      <w:pPr>
        <w:pStyle w:val="BodyText"/>
      </w:pPr>
      <w:r>
        <w:rPr>
          <w:b/>
          <w:bCs/>
        </w:rPr>
        <w:t xml:space="preserve">12.3</w:t>
      </w:r>
      <w:r>
        <w:t xml:space="preserve"> La collaborazione non è in esclusiva. Per la durata del contratto la Consulente non propone agli operatori delle shortlist prodotti di marchi in diretta concorrenza con quelli dell’Azienda.</w:t>
      </w:r>
    </w:p>
    <w:bookmarkEnd w:id="33"/>
    <w:bookmarkStart w:id="34" w:name="trattamento-dei-dati-personali"/>
    <w:p>
      <w:pPr>
        <w:pStyle w:val="Heading1"/>
      </w:pPr>
      <w:r>
        <w:t xml:space="preserve">13. Trattamento dei dati personali</w:t>
      </w:r>
    </w:p>
    <w:p>
      <w:pPr>
        <w:pStyle w:val="FirstParagraph"/>
      </w:pPr>
      <w:r>
        <w:rPr>
          <w:b/>
          <w:bCs/>
        </w:rPr>
        <w:t xml:space="preserve">13.1</w:t>
      </w:r>
      <w:r>
        <w:t xml:space="preserve"> Ciascuna Parte tratta i dati personali acquisiti nell’ambito della collaborazione come titolare autonomo, nel rispetto del Regolamento (UE) 2016/679 e delle norme locali applicabili, e informa i propri referenti del trattamento dei loro dati da parte dell’altra.</w:t>
      </w:r>
    </w:p>
    <w:p>
      <w:pPr>
        <w:pStyle w:val="BodyText"/>
      </w:pPr>
      <w:r>
        <w:rPr>
          <w:b/>
          <w:bCs/>
        </w:rPr>
        <w:t xml:space="preserve">13.2</w:t>
      </w:r>
      <w:r>
        <w:t xml:space="preserve"> La Consulente raccoglie i dati di contatto dei referenti degli operatori esteri da fonti professionali o pubbliche e li usa solo per le finalità del contratto.</w:t>
      </w:r>
    </w:p>
    <w:p>
      <w:pPr>
        <w:pStyle w:val="BodyText"/>
      </w:pPr>
      <w:r>
        <w:rPr>
          <w:b/>
          <w:bCs/>
        </w:rPr>
        <w:t xml:space="preserve">13.3</w:t>
      </w:r>
      <w:r>
        <w:t xml:space="preserve"> Se la Consulente dovesse trattare dati personali di clienti o contatti dell’Azienda per conto di quest’ultima, le Parti sottoscriveranno un accordo ai sensi dell’art. 28 del Regolamento.</w:t>
      </w:r>
    </w:p>
    <w:bookmarkEnd w:id="34"/>
    <w:bookmarkStart w:id="35" w:name="correttezza-commerciale-ed-esportazioni"/>
    <w:p>
      <w:pPr>
        <w:pStyle w:val="Heading1"/>
      </w:pPr>
      <w:r>
        <w:t xml:space="preserve">14. Correttezza commerciale ed esportazioni</w:t>
      </w:r>
    </w:p>
    <w:p>
      <w:pPr>
        <w:pStyle w:val="FirstParagraph"/>
      </w:pPr>
      <w:r>
        <w:rPr>
          <w:b/>
          <w:bCs/>
        </w:rPr>
        <w:t xml:space="preserve">14.1</w:t>
      </w:r>
      <w:r>
        <w:t xml:space="preserve"> Le Parti non offrono, promettono o versano, direttamente o tramite terzi, denaro, regali o altre utilità a dipendenti o rappresentanti di operatori esteri, a funzionari pubblici o a loro intermediari per ottenere o mantenere affari, e rispettano le norme anticorruzione applicabili, comprese quelle italiane, del Regno Unito (UK Bribery Act 2010) e degli Emirati Arabi Uniti.</w:t>
      </w:r>
    </w:p>
    <w:p>
      <w:pPr>
        <w:pStyle w:val="BodyText"/>
      </w:pPr>
      <w:r>
        <w:rPr>
          <w:b/>
          <w:bCs/>
        </w:rPr>
        <w:t xml:space="preserve">14.2</w:t>
      </w:r>
      <w:r>
        <w:t xml:space="preserve"> Il rispetto delle norme su esportazioni, dogane, sanzioni internazionali ed embarghi applicabili ai prodotti e alle vendite dell’Azienda resta a carico e sotto la responsabilità dell’Azienda. La Consulente non è tenuta a svolgere attività che, a suo ragionevole giudizio, possano violare tali norme e segnala all’Azienda le situazioni dubbie di cui viene a conoscenza.</w:t>
      </w:r>
    </w:p>
    <w:p>
      <w:pPr>
        <w:pStyle w:val="BodyText"/>
      </w:pPr>
      <w:r>
        <w:rPr>
          <w:b/>
          <w:bCs/>
        </w:rPr>
        <w:t xml:space="preserve">14.3</w:t>
      </w:r>
      <w:r>
        <w:t xml:space="preserve"> La violazione dell’articolo 14.1 da parte di una Parte consente all’altra di risolvere il contratto ai sensi dell’art. 1456 c.c., con comunicazione scritta.</w:t>
      </w:r>
    </w:p>
    <w:bookmarkEnd w:id="35"/>
    <w:bookmarkStart w:id="36" w:name="comunicazioni"/>
    <w:p>
      <w:pPr>
        <w:pStyle w:val="Heading1"/>
      </w:pPr>
      <w:r>
        <w:t xml:space="preserve">15. Comunicazioni</w:t>
      </w:r>
    </w:p>
    <w:p>
      <w:pPr>
        <w:pStyle w:val="FirstParagraph"/>
      </w:pPr>
      <w:r>
        <w:t xml:space="preserve">Le comunicazioni relative al contratto si inviano agli indirizzi email indicati nelle Parti. Recesso, risoluzione e contestazioni si inviano per PEC o per email con conferma di ricezione. Ciascuna Parte comunica per iscritto ogni variazione dei propri recapiti.</w:t>
      </w:r>
    </w:p>
    <w:bookmarkEnd w:id="36"/>
    <w:bookmarkStart w:id="37" w:name="disposizioni-finali"/>
    <w:p>
      <w:pPr>
        <w:pStyle w:val="Heading1"/>
      </w:pPr>
      <w:r>
        <w:t xml:space="preserve">16. Disposizioni finali</w:t>
      </w:r>
    </w:p>
    <w:p>
      <w:pPr>
        <w:pStyle w:val="FirstParagraph"/>
      </w:pPr>
      <w:r>
        <w:rPr>
          <w:b/>
          <w:bCs/>
        </w:rPr>
        <w:t xml:space="preserve">16.1</w:t>
      </w:r>
      <w:r>
        <w:t xml:space="preserve"> Il contratto, con gli Allegati A e B, costituisce l’intero accordo tra le Parti sull’oggetto e sostituisce ogni intesa precedente. Ogni modifica deve essere concordata per iscritto.</w:t>
      </w:r>
    </w:p>
    <w:p>
      <w:pPr>
        <w:pStyle w:val="BodyText"/>
      </w:pPr>
      <w:r>
        <w:rPr>
          <w:b/>
          <w:bCs/>
        </w:rPr>
        <w:t xml:space="preserve">16.2</w:t>
      </w:r>
      <w:r>
        <w:t xml:space="preserve"> L’eventuale invalidità di una clausola non pregiudica la validità delle altre.</w:t>
      </w:r>
    </w:p>
    <w:p>
      <w:pPr>
        <w:pStyle w:val="BodyText"/>
      </w:pPr>
      <w:r>
        <w:rPr>
          <w:b/>
          <w:bCs/>
        </w:rPr>
        <w:t xml:space="preserve">16.3</w:t>
      </w:r>
      <w:r>
        <w:t xml:space="preserve"> Il contratto è regolato dalla legge italiana.</w:t>
      </w:r>
    </w:p>
    <w:p>
      <w:pPr>
        <w:pStyle w:val="BodyText"/>
      </w:pPr>
      <w:r>
        <w:rPr>
          <w:b/>
          <w:bCs/>
        </w:rPr>
        <w:t xml:space="preserve">16.4</w:t>
      </w:r>
      <w:r>
        <w:t xml:space="preserve"> Il contratto può essere sottoscritto con firma digitale o con altra firma elettronica, oppure con firma autografa su copia scansionata scambiata via email. Ciascuna copia così sottoscritta ha valore di originale e le copie, insieme, costituiscono un unico contratto.</w:t>
      </w:r>
    </w:p>
    <w:bookmarkEnd w:id="37"/>
    <w:bookmarkStart w:id="38" w:name="foro-competente"/>
    <w:p>
      <w:pPr>
        <w:pStyle w:val="Heading1"/>
      </w:pPr>
      <w:r>
        <w:t xml:space="preserve">17. Foro competente</w:t>
      </w:r>
    </w:p>
    <w:p>
      <w:pPr>
        <w:pStyle w:val="FirstParagraph"/>
      </w:pPr>
      <w:r>
        <w:t xml:space="preserve">Per ogni controversia relativa all’interpretazione, all’esecuzione o alla cessazione del contratto è competente in via esclusiva il foro del luogo in cui la Consulente ha il proprio domicilio professionale.</w:t>
      </w:r>
    </w:p>
    <w:bookmarkEnd w:id="38"/>
    <w:bookmarkStart w:id="39" w:name="firme"/>
    <w:p>
      <w:pPr>
        <w:pStyle w:val="Heading1"/>
      </w:pPr>
      <w:r>
        <w:t xml:space="preserve">Firme</w:t>
      </w:r>
    </w:p>
    <w:p>
      <w:pPr>
        <w:pStyle w:val="FirstParagraph"/>
      </w:pPr>
      <w:r>
        <w:t xml:space="preserve">Luogo: ______________________________ Data: ______________________________</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 Consulente</w:t>
            </w:r>
          </w:p>
        </w:tc>
        <w:tc>
          <w:tcPr/>
          <w:p>
            <w:pPr>
              <w:pStyle w:val="Compact"/>
            </w:pPr>
            <w:r>
              <w:t xml:space="preserve">L’Azienda — Punti di Vista S.r.l.</w:t>
            </w:r>
          </w:p>
        </w:tc>
      </w:tr>
      <w:tr>
        <w:tc>
          <w:tcPr/>
          <w:p>
            <w:pPr>
              <w:pStyle w:val="Compact"/>
            </w:pPr>
            <w:r>
              <w:t xml:space="preserve">Elvira Vigliano</w:t>
            </w:r>
          </w:p>
        </w:tc>
        <w:tc>
          <w:tcPr/>
          <w:p>
            <w:pPr>
              <w:pStyle w:val="Compact"/>
            </w:pPr>
            <w:r>
              <w:t xml:space="preserve">Erminio Borrelli, legale rappresentante</w:t>
            </w:r>
          </w:p>
        </w:tc>
      </w:tr>
      <w:tr>
        <w:tc>
          <w:tcPr/>
          <w:p>
            <w:pPr>
              <w:pStyle w:val="Compact"/>
            </w:pPr>
            <w:r>
              <w:t xml:space="preserve">TALES&amp;TONGUES – Metodo TALES</w:t>
            </w:r>
          </w:p>
        </w:tc>
        <w:tc>
          <w:tcPr/>
          <w:p>
            <w:pPr>
              <w:pStyle w:val="Compact"/>
            </w:pPr>
          </w:p>
        </w:tc>
      </w:tr>
      <w:tr>
        <w:tc>
          <w:tcPr/>
          <w:p>
            <w:pPr>
              <w:pStyle w:val="Compact"/>
            </w:pPr>
            <w:r>
              <w:t xml:space="preserve">Firma:</w:t>
            </w:r>
          </w:p>
        </w:tc>
        <w:tc>
          <w:tcPr/>
          <w:p>
            <w:pPr>
              <w:pStyle w:val="Compact"/>
            </w:pPr>
            <w:r>
              <w:t xml:space="preserve">Firma:</w:t>
            </w:r>
          </w:p>
        </w:tc>
      </w:tr>
    </w:tbl>
    <w:bookmarkEnd w:id="39"/>
    <w:bookmarkStart w:id="40" w:name="approvazione-specifica-delle-clausole"/>
    <w:p>
      <w:pPr>
        <w:pStyle w:val="Heading1"/>
      </w:pPr>
      <w:r>
        <w:t xml:space="preserve">Approvazione specifica delle clausole</w:t>
      </w:r>
    </w:p>
    <w:p>
      <w:pPr>
        <w:pStyle w:val="FirstParagraph"/>
      </w:pPr>
      <w:r>
        <w:t xml:space="preserve">Ai sensi degli artt. 1341 e 1342 c.c., per quanto applicabili, le Parti dichiarano di aver letto e di approvare specificamente le seguenti clausole: 1.4 (natura delle verifiche normative); 4.7 (interessi moratori e sospensione delle attività); 6.2 e 6.4 (slittamento delle consegne e manleva); 9.3 (limitazione di responsabilità); 11 (recesso e clausola risolutiva espressa); 12.3 (non esclusiva e limite di concorrenza); 14.2 e 14.3 (esportazioni e risoluzione); 17 (foro competente).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 Consulente</w:t>
            </w:r>
          </w:p>
        </w:tc>
        <w:tc>
          <w:tcPr/>
          <w:p>
            <w:pPr>
              <w:pStyle w:val="Compact"/>
            </w:pPr>
            <w:r>
              <w:t xml:space="preserve">L’Azienda — Punti di Vista S.r.l.</w:t>
            </w:r>
          </w:p>
        </w:tc>
      </w:tr>
      <w:tr>
        <w:tc>
          <w:tcPr/>
          <w:p>
            <w:pPr>
              <w:pStyle w:val="Compact"/>
            </w:pPr>
            <w:r>
              <w:t xml:space="preserve">Elvira Vigliano</w:t>
            </w:r>
          </w:p>
        </w:tc>
        <w:tc>
          <w:tcPr/>
          <w:p>
            <w:pPr>
              <w:pStyle w:val="Compact"/>
            </w:pPr>
            <w:r>
              <w:t xml:space="preserve">Erminio Borrelli, legale rappresentante</w:t>
            </w:r>
          </w:p>
        </w:tc>
      </w:tr>
      <w:tr>
        <w:tc>
          <w:tcPr/>
          <w:p>
            <w:pPr>
              <w:pStyle w:val="Compact"/>
            </w:pPr>
            <w:r>
              <w:t xml:space="preserve">Firma:</w:t>
            </w:r>
          </w:p>
        </w:tc>
        <w:tc>
          <w:tcPr/>
          <w:p>
            <w:pPr>
              <w:pStyle w:val="Compact"/>
            </w:pPr>
            <w:r>
              <w:t xml:space="preserve">Firma:</w:t>
            </w:r>
          </w:p>
        </w:tc>
      </w:tr>
    </w:tbl>
    <w:bookmarkEnd w:id="40"/>
    <w:bookmarkStart w:id="41" w:name="Xd6dd905eb0d13a0729c15384fbb131e3c716112"/>
    <w:p>
      <w:pPr>
        <w:pStyle w:val="Heading1"/>
      </w:pPr>
      <w:r>
        <w:t xml:space="preserve">Allegato A — Attività e documenti da consegnare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Mese</w:t>
            </w:r>
          </w:p>
        </w:tc>
        <w:tc>
          <w:tcPr/>
          <w:p>
            <w:pPr>
              <w:pStyle w:val="Compact"/>
            </w:pPr>
            <w:r>
              <w:t xml:space="preserve">Attività</w:t>
            </w:r>
          </w:p>
        </w:tc>
        <w:tc>
          <w:tcPr/>
          <w:p>
            <w:pPr>
              <w:pStyle w:val="Compact"/>
            </w:pPr>
            <w:r>
              <w:t xml:space="preserve">Documento consegnato</w:t>
            </w:r>
          </w:p>
        </w:tc>
      </w:tr>
      <w:tr>
        <w:tc>
          <w:tcPr/>
          <w:p>
            <w:pPr>
              <w:pStyle w:val="Compact"/>
            </w:pPr>
            <w:r>
              <w:t xml:space="preserve">1 – Analisi e qualificazione</w:t>
            </w:r>
          </w:p>
        </w:tc>
        <w:tc>
          <w:tcPr/>
          <w:p>
            <w:pPr>
              <w:pStyle w:val="Compact"/>
            </w:pPr>
            <w:r>
              <w:t xml:space="preserve">Analisi delle linee di prodotto compatibili</w:t>
            </w:r>
          </w:p>
        </w:tc>
        <w:tc>
          <w:tcPr/>
          <w:p>
            <w:pPr>
              <w:pStyle w:val="Compact"/>
            </w:pPr>
            <w:r>
              <w:t xml:space="preserve">Documento di sintesi</w:t>
            </w:r>
          </w:p>
        </w:tc>
      </w:tr>
      <w:tr>
        <w:tc>
          <w:tcPr/>
          <w:p>
            <w:pPr>
              <w:pStyle w:val="Compact"/>
            </w:pPr>
          </w:p>
        </w:tc>
        <w:tc>
          <w:tcPr/>
          <w:p>
            <w:pPr>
              <w:pStyle w:val="Compact"/>
            </w:pPr>
            <w:r>
              <w:t xml:space="preserve">Analisi preliminare del posizionamento</w:t>
            </w:r>
          </w:p>
        </w:tc>
        <w:tc>
          <w:tcPr/>
          <w:p>
            <w:pPr>
              <w:pStyle w:val="Compact"/>
            </w:pPr>
            <w:r>
              <w:t xml:space="preserve">Sintesi strategica</w:t>
            </w:r>
          </w:p>
        </w:tc>
      </w:tr>
      <w:tr>
        <w:tc>
          <w:tcPr/>
          <w:p>
            <w:pPr>
              <w:pStyle w:val="Compact"/>
            </w:pPr>
          </w:p>
        </w:tc>
        <w:tc>
          <w:tcPr/>
          <w:p>
            <w:pPr>
              <w:pStyle w:val="Compact"/>
            </w:pPr>
            <w:r>
              <w:t xml:space="preserve">Verifica preliminare dei requisiti per gli Emirati Arabi Uniti</w:t>
            </w:r>
          </w:p>
        </w:tc>
        <w:tc>
          <w:tcPr/>
          <w:p>
            <w:pPr>
              <w:pStyle w:val="Compact"/>
            </w:pPr>
            <w:r>
              <w:t xml:space="preserve">Checklist operativa</w:t>
            </w:r>
          </w:p>
        </w:tc>
      </w:tr>
      <w:tr>
        <w:tc>
          <w:tcPr/>
          <w:p>
            <w:pPr>
              <w:pStyle w:val="Compact"/>
            </w:pPr>
          </w:p>
        </w:tc>
        <w:tc>
          <w:tcPr/>
          <w:p>
            <w:pPr>
              <w:pStyle w:val="Compact"/>
            </w:pPr>
            <w:r>
              <w:t xml:space="preserve">Verifica preliminare dei requisiti per il Regno Unito</w:t>
            </w:r>
          </w:p>
        </w:tc>
        <w:tc>
          <w:tcPr/>
          <w:p>
            <w:pPr>
              <w:pStyle w:val="Compact"/>
            </w:pPr>
            <w:r>
              <w:t xml:space="preserve">Checklist operativa</w:t>
            </w:r>
          </w:p>
        </w:tc>
      </w:tr>
      <w:tr>
        <w:tc>
          <w:tcPr/>
          <w:p>
            <w:pPr>
              <w:pStyle w:val="Compact"/>
            </w:pPr>
          </w:p>
        </w:tc>
        <w:tc>
          <w:tcPr/>
          <w:p>
            <w:pPr>
              <w:pStyle w:val="Compact"/>
            </w:pPr>
            <w:r>
              <w:t xml:space="preserve">Mappatura degli operatori negli Emirati Arabi Uniti</w:t>
            </w:r>
          </w:p>
        </w:tc>
        <w:tc>
          <w:tcPr/>
          <w:p>
            <w:pPr>
              <w:pStyle w:val="Compact"/>
            </w:pPr>
            <w:r>
              <w:t xml:space="preserve">Shortlist qualificata con motivazioni</w:t>
            </w:r>
          </w:p>
        </w:tc>
      </w:tr>
      <w:tr>
        <w:tc>
          <w:tcPr/>
          <w:p>
            <w:pPr>
              <w:pStyle w:val="Compact"/>
            </w:pPr>
          </w:p>
        </w:tc>
        <w:tc>
          <w:tcPr/>
          <w:p>
            <w:pPr>
              <w:pStyle w:val="Compact"/>
            </w:pPr>
            <w:r>
              <w:t xml:space="preserve">Mappatura degli operatori nel Regno Unito</w:t>
            </w:r>
          </w:p>
        </w:tc>
        <w:tc>
          <w:tcPr/>
          <w:p>
            <w:pPr>
              <w:pStyle w:val="Compact"/>
            </w:pPr>
            <w:r>
              <w:t xml:space="preserve">Shortlist qualificata con motivazioni</w:t>
            </w:r>
          </w:p>
        </w:tc>
      </w:tr>
      <w:tr>
        <w:tc>
          <w:tcPr/>
          <w:p>
            <w:pPr>
              <w:pStyle w:val="Compact"/>
            </w:pPr>
            <w:r>
              <w:t xml:space="preserve">2 – Contatto e qualificazione</w:t>
            </w:r>
          </w:p>
        </w:tc>
        <w:tc>
          <w:tcPr/>
          <w:p>
            <w:pPr>
              <w:pStyle w:val="Compact"/>
            </w:pPr>
            <w:r>
              <w:t xml:space="preserve">Contatto con gli operatori selezionati</w:t>
            </w:r>
          </w:p>
        </w:tc>
        <w:tc>
          <w:tcPr/>
          <w:p>
            <w:pPr>
              <w:pStyle w:val="Compact"/>
            </w:pPr>
            <w:r>
              <w:t xml:space="preserve">Report dei contatti</w:t>
            </w:r>
          </w:p>
        </w:tc>
      </w:tr>
      <w:tr>
        <w:tc>
          <w:tcPr/>
          <w:p>
            <w:pPr>
              <w:pStyle w:val="Compact"/>
            </w:pPr>
          </w:p>
        </w:tc>
        <w:tc>
          <w:tcPr/>
          <w:p>
            <w:pPr>
              <w:pStyle w:val="Compact"/>
            </w:pPr>
            <w:r>
              <w:t xml:space="preserve">Gestione delle prime conversazioni</w:t>
            </w:r>
          </w:p>
        </w:tc>
        <w:tc>
          <w:tcPr/>
          <w:p>
            <w:pPr>
              <w:pStyle w:val="Compact"/>
            </w:pPr>
            <w:r>
              <w:t xml:space="preserve">Report delle conversazioni</w:t>
            </w:r>
          </w:p>
        </w:tc>
      </w:tr>
      <w:tr>
        <w:tc>
          <w:tcPr/>
          <w:p>
            <w:pPr>
              <w:pStyle w:val="Compact"/>
            </w:pPr>
          </w:p>
        </w:tc>
        <w:tc>
          <w:tcPr/>
          <w:p>
            <w:pPr>
              <w:pStyle w:val="Compact"/>
            </w:pPr>
            <w:r>
              <w:t xml:space="preserve">Call conoscitive, ove previste</w:t>
            </w:r>
          </w:p>
        </w:tc>
        <w:tc>
          <w:tcPr/>
          <w:p>
            <w:pPr>
              <w:pStyle w:val="Compact"/>
            </w:pPr>
            <w:r>
              <w:t xml:space="preserve">Report delle call</w:t>
            </w:r>
          </w:p>
        </w:tc>
      </w:tr>
      <w:tr>
        <w:tc>
          <w:tcPr/>
          <w:p>
            <w:pPr>
              <w:pStyle w:val="Compact"/>
            </w:pPr>
          </w:p>
        </w:tc>
        <w:tc>
          <w:tcPr/>
          <w:p>
            <w:pPr>
              <w:pStyle w:val="Compact"/>
            </w:pPr>
            <w:r>
              <w:t xml:space="preserve">Qualificazione degli interlocutori</w:t>
            </w:r>
          </w:p>
        </w:tc>
        <w:tc>
          <w:tcPr/>
          <w:p>
            <w:pPr>
              <w:pStyle w:val="Compact"/>
            </w:pPr>
            <w:r>
              <w:t xml:space="preserve">Scheda di qualificazione</w:t>
            </w:r>
          </w:p>
        </w:tc>
      </w:tr>
      <w:tr>
        <w:tc>
          <w:tcPr/>
          <w:p>
            <w:pPr>
              <w:pStyle w:val="Compact"/>
            </w:pPr>
          </w:p>
        </w:tc>
        <w:tc>
          <w:tcPr/>
          <w:p>
            <w:pPr>
              <w:pStyle w:val="Compact"/>
            </w:pPr>
            <w:r>
              <w:t xml:space="preserve">Individuazione dei decisori</w:t>
            </w:r>
          </w:p>
        </w:tc>
        <w:tc>
          <w:tcPr/>
          <w:p>
            <w:pPr>
              <w:pStyle w:val="Compact"/>
            </w:pPr>
            <w:r>
              <w:t xml:space="preserve">Report dei decisori</w:t>
            </w:r>
          </w:p>
        </w:tc>
      </w:tr>
      <w:tr>
        <w:tc>
          <w:tcPr/>
          <w:p>
            <w:pPr>
              <w:pStyle w:val="Compact"/>
            </w:pPr>
          </w:p>
        </w:tc>
        <w:tc>
          <w:tcPr/>
          <w:p>
            <w:pPr>
              <w:pStyle w:val="Compact"/>
            </w:pPr>
            <w:r>
              <w:t xml:space="preserve">Valutazione delle opportunità</w:t>
            </w:r>
          </w:p>
        </w:tc>
        <w:tc>
          <w:tcPr/>
          <w:p>
            <w:pPr>
              <w:pStyle w:val="Compact"/>
            </w:pPr>
            <w:r>
              <w:t xml:space="preserve">Aggiornamento della pipeline</w:t>
            </w:r>
          </w:p>
        </w:tc>
      </w:tr>
      <w:tr>
        <w:tc>
          <w:tcPr/>
          <w:p>
            <w:pPr>
              <w:pStyle w:val="Compact"/>
            </w:pPr>
            <w:r>
              <w:t xml:space="preserve">3 – Attivazione e report</w:t>
            </w:r>
          </w:p>
        </w:tc>
        <w:tc>
          <w:tcPr/>
          <w:p>
            <w:pPr>
              <w:pStyle w:val="Compact"/>
            </w:pPr>
            <w:r>
              <w:t xml:space="preserve">Follow-up degli interlocutori</w:t>
            </w:r>
          </w:p>
        </w:tc>
        <w:tc>
          <w:tcPr/>
          <w:p>
            <w:pPr>
              <w:pStyle w:val="Compact"/>
            </w:pPr>
            <w:r>
              <w:t xml:space="preserve">Report di avanzamento</w:t>
            </w:r>
          </w:p>
        </w:tc>
      </w:tr>
      <w:tr>
        <w:tc>
          <w:tcPr/>
          <w:p>
            <w:pPr>
              <w:pStyle w:val="Compact"/>
            </w:pPr>
          </w:p>
        </w:tc>
        <w:tc>
          <w:tcPr/>
          <w:p>
            <w:pPr>
              <w:pStyle w:val="Compact"/>
            </w:pPr>
            <w:r>
              <w:t xml:space="preserve">Gestione delle opportunità in corso</w:t>
            </w:r>
          </w:p>
        </w:tc>
        <w:tc>
          <w:tcPr/>
          <w:p>
            <w:pPr>
              <w:pStyle w:val="Compact"/>
            </w:pPr>
            <w:r>
              <w:t xml:space="preserve">Pipeline aggiornata</w:t>
            </w:r>
          </w:p>
        </w:tc>
      </w:tr>
      <w:tr>
        <w:tc>
          <w:tcPr/>
          <w:p>
            <w:pPr>
              <w:pStyle w:val="Compact"/>
            </w:pPr>
          </w:p>
        </w:tc>
        <w:tc>
          <w:tcPr/>
          <w:p>
            <w:pPr>
              <w:pStyle w:val="Compact"/>
            </w:pPr>
            <w:r>
              <w:t xml:space="preserve">Materiali commerciali personalizzati</w:t>
            </w:r>
          </w:p>
        </w:tc>
        <w:tc>
          <w:tcPr/>
          <w:p>
            <w:pPr>
              <w:pStyle w:val="Compact"/>
            </w:pPr>
            <w:r>
              <w:t xml:space="preserve">Documenti pronti per l’invio</w:t>
            </w:r>
          </w:p>
        </w:tc>
      </w:tr>
      <w:tr>
        <w:tc>
          <w:tcPr/>
          <w:p>
            <w:pPr>
              <w:pStyle w:val="Compact"/>
            </w:pPr>
          </w:p>
        </w:tc>
        <w:tc>
          <w:tcPr/>
          <w:p>
            <w:pPr>
              <w:pStyle w:val="Compact"/>
            </w:pPr>
            <w:r>
              <w:t xml:space="preserve">Analisi delle risposte e delle opportunità</w:t>
            </w:r>
          </w:p>
        </w:tc>
        <w:tc>
          <w:tcPr/>
          <w:p>
            <w:pPr>
              <w:pStyle w:val="Compact"/>
            </w:pPr>
            <w:r>
              <w:t xml:space="preserve">Report di sintesi</w:t>
            </w:r>
          </w:p>
        </w:tc>
      </w:tr>
      <w:tr>
        <w:tc>
          <w:tcPr/>
          <w:p>
            <w:pPr>
              <w:pStyle w:val="Compact"/>
            </w:pPr>
          </w:p>
        </w:tc>
        <w:tc>
          <w:tcPr/>
          <w:p>
            <w:pPr>
              <w:pStyle w:val="Compact"/>
            </w:pPr>
            <w:r>
              <w:t xml:space="preserve">Report finale</w:t>
            </w:r>
          </w:p>
        </w:tc>
        <w:tc>
          <w:tcPr/>
          <w:p>
            <w:pPr>
              <w:pStyle w:val="Compact"/>
            </w:pPr>
            <w:r>
              <w:t xml:space="preserve">Risultati, criticità e prossimi passi</w:t>
            </w:r>
          </w:p>
        </w:tc>
      </w:tr>
    </w:tbl>
    <w:bookmarkEnd w:id="41"/>
    <w:bookmarkStart w:id="42" w:name="allegato-b-metodo-tales"/>
    <w:p>
      <w:pPr>
        <w:pStyle w:val="Heading1"/>
      </w:pPr>
      <w:r>
        <w:t xml:space="preserve">Allegato B — Metodo TALES</w:t>
      </w:r>
    </w:p>
    <w:p>
      <w:pPr>
        <w:pStyle w:val="FirstParagraph"/>
      </w:pPr>
      <w:r>
        <w:t xml:space="preserve">Il Metodo TALES è il metodo di lavoro proprietario con cui la Consulente organizza le attività di sviluppo internazionale. Si articola in cinque fasi: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Contenuto</w:t>
            </w:r>
          </w:p>
        </w:tc>
      </w:tr>
      <w:tr>
        <w:tc>
          <w:tcPr/>
          <w:p>
            <w:pPr>
              <w:pStyle w:val="Compact"/>
            </w:pPr>
            <w:r>
              <w:rPr>
                <w:b/>
                <w:bCs/>
              </w:rPr>
              <w:t xml:space="preserve">T – Target</w:t>
            </w:r>
          </w:p>
        </w:tc>
        <w:tc>
          <w:tcPr/>
          <w:p>
            <w:pPr>
              <w:pStyle w:val="Compact"/>
            </w:pPr>
            <w:r>
              <w:t xml:space="preserve">Individuazione degli interlocutori più adatti nei mercati indicati.</w:t>
            </w:r>
          </w:p>
        </w:tc>
      </w:tr>
      <w:tr>
        <w:tc>
          <w:tcPr/>
          <w:p>
            <w:pPr>
              <w:pStyle w:val="Compact"/>
            </w:pPr>
            <w:r>
              <w:rPr>
                <w:b/>
                <w:bCs/>
              </w:rPr>
              <w:t xml:space="preserve">A – Alignment</w:t>
            </w:r>
          </w:p>
        </w:tc>
        <w:tc>
          <w:tcPr/>
          <w:p>
            <w:pPr>
              <w:pStyle w:val="Compact"/>
            </w:pPr>
            <w:r>
              <w:t xml:space="preserve">Allineamento tra azienda, prodotto, mercato e interlocutore.</w:t>
            </w:r>
          </w:p>
        </w:tc>
      </w:tr>
      <w:tr>
        <w:tc>
          <w:tcPr/>
          <w:p>
            <w:pPr>
              <w:pStyle w:val="Compact"/>
            </w:pPr>
            <w:r>
              <w:rPr>
                <w:b/>
                <w:bCs/>
              </w:rPr>
              <w:t xml:space="preserve">L – Language for Business</w:t>
            </w:r>
          </w:p>
        </w:tc>
        <w:tc>
          <w:tcPr/>
          <w:p>
            <w:pPr>
              <w:pStyle w:val="Compact"/>
            </w:pPr>
            <w:r>
              <w:t xml:space="preserve">Linguaggio commerciale con cui l’azienda e i prodotti sono presentati al mercato.</w:t>
            </w:r>
          </w:p>
        </w:tc>
      </w:tr>
      <w:tr>
        <w:tc>
          <w:tcPr/>
          <w:p>
            <w:pPr>
              <w:pStyle w:val="Compact"/>
            </w:pPr>
            <w:r>
              <w:rPr>
                <w:b/>
                <w:bCs/>
              </w:rPr>
              <w:t xml:space="preserve">E – Engagement</w:t>
            </w:r>
          </w:p>
        </w:tc>
        <w:tc>
          <w:tcPr/>
          <w:p>
            <w:pPr>
              <w:pStyle w:val="Compact"/>
            </w:pPr>
            <w:r>
              <w:t xml:space="preserve">Trasformazione del contatto in conversazione, relazione e opportunità commerciale.</w:t>
            </w:r>
          </w:p>
        </w:tc>
      </w:tr>
      <w:tr>
        <w:tc>
          <w:tcPr/>
          <w:p>
            <w:pPr>
              <w:pStyle w:val="Compact"/>
            </w:pPr>
            <w:r>
              <w:rPr>
                <w:b/>
                <w:bCs/>
              </w:rPr>
              <w:t xml:space="preserve">S – Sustainable Growth</w:t>
            </w:r>
          </w:p>
        </w:tc>
        <w:tc>
          <w:tcPr/>
          <w:p>
            <w:pPr>
              <w:pStyle w:val="Compact"/>
            </w:pPr>
            <w:r>
              <w:t xml:space="preserve">Costruzione di un sistema commerciale replicabile e orientato alla crescita nel tempo.</w:t>
            </w:r>
          </w:p>
        </w:tc>
      </w:tr>
    </w:tbl>
    <w:p>
      <w:pPr>
        <w:pStyle w:val="BodyText"/>
      </w:pPr>
      <w:r>
        <w:t xml:space="preserve">Il Metodo TALES è uno strumento di organizzazione del lavoro e non costituisce garanzia di risultato economico. Resta di proprietà esclusiva della Consulente ai sensi dell’articolo 8.</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