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8207" w14:textId="77777777" w:rsidR="00E8184F" w:rsidRPr="00476DA0" w:rsidRDefault="001B426F" w:rsidP="00BE2932">
      <w:pPr>
        <w:pStyle w:val="Citazioneintensa"/>
        <w:rPr>
          <w:sz w:val="36"/>
          <w:szCs w:val="36"/>
        </w:rPr>
      </w:pPr>
      <w:r w:rsidRPr="00476DA0">
        <w:rPr>
          <w:noProof/>
          <w:sz w:val="36"/>
          <w:szCs w:val="36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73914" wp14:editId="5B756D2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133350" t="114300" r="147320" b="187960"/>
                <wp:wrapSquare wrapText="bothSides"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rgbClr val="FF0000">
                              <a:alpha val="60000"/>
                            </a:srgbClr>
                          </a:glow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txbx>
                        <w:txbxContent>
                          <w:p w14:paraId="42E8AC62" w14:textId="77777777" w:rsidR="001B426F" w:rsidRPr="00476DA0" w:rsidRDefault="001B426F" w:rsidP="001B426F">
                            <w:pPr>
                              <w:jc w:val="center"/>
                              <w:rPr>
                                <w:b/>
                                <w:color w:val="FF0000"/>
                                <w:sz w:val="56"/>
                                <w:szCs w:val="5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6DA0">
                              <w:rPr>
                                <w:b/>
                                <w:color w:val="FF0000"/>
                                <w:sz w:val="56"/>
                                <w:szCs w:val="5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CORSO COMPLETO DI ANALISI MATEMATICA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973914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" fillcolor="white [3212]" strokecolor="red">
                <v:shadow on="t" color="black" opacity="26214f" origin=",-.5" offset="0,3pt"/>
                <v:textbox style="mso-fit-shape-to-text:t">
                  <w:txbxContent>
                    <w:p w14:paraId="42E8AC62" w14:textId="77777777" w:rsidR="001B426F" w:rsidRPr="00476DA0" w:rsidRDefault="001B426F" w:rsidP="001B426F">
                      <w:pPr>
                        <w:jc w:val="center"/>
                        <w:rPr>
                          <w:b/>
                          <w:color w:val="FF0000"/>
                          <w:sz w:val="56"/>
                          <w:szCs w:val="5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76DA0">
                        <w:rPr>
                          <w:b/>
                          <w:color w:val="FF0000"/>
                          <w:sz w:val="56"/>
                          <w:szCs w:val="5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CORSO COMPLETO DI ANALISI MATEMATICA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184F" w:rsidRPr="00476DA0">
        <w:rPr>
          <w:sz w:val="36"/>
          <w:szCs w:val="36"/>
        </w:rPr>
        <w:t>L’INSIEME</w:t>
      </w:r>
    </w:p>
    <w:p w14:paraId="6D9B22DA" w14:textId="77777777" w:rsidR="00BE2932" w:rsidRDefault="00BE2932" w:rsidP="009B114B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Il primo argomento che affronteremo (e che fungerà da base assoluta durante il nostro corso) è </w:t>
      </w:r>
      <w:r w:rsidRPr="00EE3158">
        <w:rPr>
          <w:rFonts w:cstheme="minorHAnsi"/>
          <w:u w:val="single"/>
        </w:rPr>
        <w:t>l’INSIEMISTICA</w:t>
      </w:r>
      <w:r>
        <w:rPr>
          <w:rFonts w:cstheme="minorHAnsi"/>
        </w:rPr>
        <w:t>: in matemati</w:t>
      </w:r>
      <w:r w:rsidR="00EE3158">
        <w:rPr>
          <w:rFonts w:cstheme="minorHAnsi"/>
        </w:rPr>
        <w:t xml:space="preserve">ca si definisce </w:t>
      </w:r>
      <w:r w:rsidR="00EE3158" w:rsidRPr="00EE3158">
        <w:rPr>
          <w:rFonts w:cstheme="minorHAnsi"/>
          <w:b/>
          <w:i/>
        </w:rPr>
        <w:t>INSIEME</w:t>
      </w:r>
      <w:r w:rsidR="00EE3158">
        <w:rPr>
          <w:rFonts w:cstheme="minorHAnsi"/>
        </w:rPr>
        <w:t xml:space="preserve"> un raggruppamento di elementi che possono essere oggetti, persone, animali, numeri… i quali avranno una caratteristica comune fra di loro. Tanto per fissare bene le idee possiamo prendere come es</w:t>
      </w:r>
      <w:r w:rsidR="0057359B">
        <w:rPr>
          <w:rFonts w:cstheme="minorHAnsi"/>
        </w:rPr>
        <w:t xml:space="preserve">empio l’insieme dei numeri pari </w:t>
      </w:r>
      <m:oMath>
        <m:r>
          <w:rPr>
            <w:rFonts w:ascii="Cambria Math" w:hAnsi="Cambria Math" w:cstheme="minorHAnsi"/>
          </w:rPr>
          <m:t>[2, 4, 6, 8, …]</m:t>
        </m:r>
      </m:oMath>
      <w:r w:rsidR="00EE3158">
        <w:rPr>
          <w:rFonts w:cstheme="minorHAnsi"/>
        </w:rPr>
        <w:t xml:space="preserve">, la caratteristica che accomuna tali elementi è appunto quella di essere numeri pari; oppure possiamo considerare l’insieme </w:t>
      </w:r>
      <m:oMath>
        <m:r>
          <w:rPr>
            <w:rFonts w:ascii="Cambria Math" w:hAnsi="Cambria Math" w:cstheme="minorHAnsi"/>
          </w:rPr>
          <m:t>[tastiera, mouse, monitor, stampante, gruppo di continuità, cabinet]</m:t>
        </m:r>
      </m:oMath>
      <w:r w:rsidR="00476DA0">
        <w:rPr>
          <w:rFonts w:cstheme="minorHAnsi"/>
        </w:rPr>
        <w:t>, ad occhio si potrebbe intuire che</w:t>
      </w:r>
      <w:r w:rsidR="00115441">
        <w:rPr>
          <w:rFonts w:cstheme="minorHAnsi"/>
        </w:rPr>
        <w:t xml:space="preserve"> la caratteristica che li accomuna</w:t>
      </w:r>
      <w:r w:rsidR="00476DA0">
        <w:rPr>
          <w:rFonts w:cstheme="minorHAnsi"/>
        </w:rPr>
        <w:t xml:space="preserve"> è quella di definire una postazione PC.</w:t>
      </w:r>
    </w:p>
    <w:p w14:paraId="7394FD01" w14:textId="77777777" w:rsidR="00115441" w:rsidRDefault="00115441" w:rsidP="009B114B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Gli insiemi generalmente vanno rappresentati con una lettera maiuscola </w:t>
      </w:r>
      <w:r w:rsidRPr="002F2D34">
        <w:rPr>
          <w:rFonts w:ascii="Cambria Math" w:hAnsi="Cambria Math" w:cstheme="minorHAnsi"/>
          <w:i/>
        </w:rPr>
        <w:t>A</w:t>
      </w:r>
      <w:r>
        <w:rPr>
          <w:rFonts w:cstheme="minorHAnsi"/>
        </w:rPr>
        <w:t xml:space="preserve">, </w:t>
      </w:r>
      <w:r w:rsidRPr="002F2D34">
        <w:rPr>
          <w:rFonts w:ascii="Cambria Math" w:hAnsi="Cambria Math" w:cstheme="minorHAnsi"/>
          <w:i/>
        </w:rPr>
        <w:t>B</w:t>
      </w:r>
      <w:r>
        <w:rPr>
          <w:rFonts w:cstheme="minorHAnsi"/>
        </w:rPr>
        <w:t xml:space="preserve">, </w:t>
      </w:r>
      <w:r w:rsidRPr="002F2D34">
        <w:rPr>
          <w:rFonts w:ascii="Cambria Math" w:hAnsi="Cambria Math" w:cstheme="minorHAnsi"/>
          <w:i/>
        </w:rPr>
        <w:t>C</w:t>
      </w:r>
      <w:r>
        <w:rPr>
          <w:rFonts w:cstheme="minorHAnsi"/>
        </w:rPr>
        <w:t xml:space="preserve">, </w:t>
      </w:r>
      <w:r w:rsidRPr="002F2D34">
        <w:rPr>
          <w:rFonts w:ascii="Cambria Math" w:hAnsi="Cambria Math" w:cstheme="minorHAnsi"/>
          <w:i/>
        </w:rPr>
        <w:t>D</w:t>
      </w:r>
      <w:r w:rsidR="002F2D34">
        <w:rPr>
          <w:rFonts w:ascii="Cambria Math" w:hAnsi="Cambria Math" w:cstheme="minorHAnsi"/>
          <w:i/>
        </w:rPr>
        <w:t>, …, Z</w:t>
      </w:r>
      <w:r w:rsidR="002F2D34">
        <w:rPr>
          <w:rFonts w:cstheme="minorHAnsi"/>
        </w:rPr>
        <w:t xml:space="preserve">  </w:t>
      </w:r>
      <w:r>
        <w:rPr>
          <w:rFonts w:cstheme="minorHAnsi"/>
        </w:rPr>
        <w:t xml:space="preserve">mentre gli elementi che ne fanno parte con lettere minuscole </w:t>
      </w:r>
      <m:oMath>
        <m:r>
          <w:rPr>
            <w:rFonts w:ascii="Cambria Math" w:hAnsi="Cambria Math" w:cstheme="minorHAnsi"/>
          </w:rPr>
          <m:t>a</m:t>
        </m:r>
      </m:oMath>
      <w:r>
        <w:rPr>
          <w:rFonts w:cstheme="minorHAnsi"/>
        </w:rPr>
        <w:t xml:space="preserve">, </w:t>
      </w:r>
      <m:oMath>
        <m:r>
          <w:rPr>
            <w:rFonts w:ascii="Cambria Math" w:hAnsi="Cambria Math" w:cstheme="minorHAnsi"/>
          </w:rPr>
          <m:t>b</m:t>
        </m:r>
      </m:oMath>
      <w:r>
        <w:rPr>
          <w:rFonts w:cstheme="minorHAnsi"/>
        </w:rPr>
        <w:t xml:space="preserve">, </w:t>
      </w:r>
      <m:oMath>
        <m:r>
          <w:rPr>
            <w:rFonts w:ascii="Cambria Math" w:hAnsi="Cambria Math" w:cstheme="minorHAnsi"/>
          </w:rPr>
          <m:t>c</m:t>
        </m:r>
      </m:oMath>
      <w:r>
        <w:rPr>
          <w:rFonts w:cstheme="minorHAnsi"/>
        </w:rPr>
        <w:t xml:space="preserve">, </w:t>
      </w:r>
      <m:oMath>
        <m:r>
          <w:rPr>
            <w:rFonts w:ascii="Cambria Math" w:hAnsi="Cambria Math" w:cstheme="minorHAnsi"/>
          </w:rPr>
          <m:t>d</m:t>
        </m:r>
      </m:oMath>
      <w:r w:rsidR="002F2D34">
        <w:rPr>
          <w:rFonts w:eastAsiaTheme="minorEastAsia" w:cstheme="minorHAnsi"/>
        </w:rPr>
        <w:t xml:space="preserve">, …, </w:t>
      </w:r>
      <m:oMath>
        <m:r>
          <w:rPr>
            <w:rFonts w:ascii="Cambria Math" w:eastAsiaTheme="minorEastAsia" w:hAnsi="Cambria Math" w:cstheme="minorHAnsi"/>
          </w:rPr>
          <m:t>z</m:t>
        </m:r>
      </m:oMath>
      <w:r>
        <w:rPr>
          <w:rFonts w:ascii="Arial Black" w:hAnsi="Arial Black" w:cstheme="minorHAnsi"/>
        </w:rPr>
        <w:t xml:space="preserve"> </w:t>
      </w:r>
      <w:r>
        <w:rPr>
          <w:rFonts w:cstheme="minorHAnsi"/>
        </w:rPr>
        <w:t>o alcune volte si utilizza scrivere il loro nome per esteso</w:t>
      </w:r>
      <w:r w:rsidR="005303BA">
        <w:rPr>
          <w:rFonts w:cstheme="minorHAnsi"/>
        </w:rPr>
        <w:t>. I</w:t>
      </w:r>
      <w:r w:rsidR="007F6F93">
        <w:rPr>
          <w:rFonts w:cstheme="minorHAnsi"/>
        </w:rPr>
        <w:t>noltre viene usata una simbologia per capire se un elemento fa parte o meno di un insieme:</w:t>
      </w:r>
    </w:p>
    <w:p w14:paraId="35BAFA49" w14:textId="77777777" w:rsidR="007F6F93" w:rsidRDefault="007F6F93" w:rsidP="009B114B">
      <w:pPr>
        <w:pStyle w:val="Paragrafoelenco"/>
        <w:numPr>
          <w:ilvl w:val="0"/>
          <w:numId w:val="3"/>
        </w:numPr>
        <w:spacing w:after="0"/>
        <w:jc w:val="both"/>
        <w:rPr>
          <w:rFonts w:cstheme="minorHAnsi"/>
        </w:rPr>
      </w:pPr>
      <m:oMath>
        <m:r>
          <w:rPr>
            <w:rFonts w:ascii="Cambria Math" w:hAnsi="Cambria Math" w:cstheme="minorHAnsi"/>
            <w:color w:val="00B050"/>
          </w:rPr>
          <m:t>a∈A</m:t>
        </m:r>
      </m:oMath>
      <w:r w:rsidR="002F2D34" w:rsidRPr="008F59F7">
        <w:rPr>
          <w:rFonts w:eastAsiaTheme="minorEastAsia" w:cstheme="minorHAnsi"/>
          <w:color w:val="00B050"/>
        </w:rPr>
        <w:t xml:space="preserve"> </w:t>
      </w:r>
      <w:r w:rsidR="002F2D34">
        <w:rPr>
          <w:rFonts w:eastAsiaTheme="minorEastAsia" w:cstheme="minorHAnsi"/>
        </w:rPr>
        <w:t>si legge “</w:t>
      </w:r>
      <m:oMath>
        <m:r>
          <w:rPr>
            <w:rFonts w:ascii="Cambria Math" w:hAnsi="Cambria Math" w:cstheme="minorHAnsi"/>
            <w:color w:val="7030A0"/>
          </w:rPr>
          <m:t>a</m:t>
        </m:r>
      </m:oMath>
      <w:r w:rsidR="002F2D34" w:rsidRPr="005003BF">
        <w:rPr>
          <w:rFonts w:eastAsiaTheme="minorEastAsia" w:cstheme="minorHAnsi"/>
          <w:color w:val="7030A0"/>
        </w:rPr>
        <w:t xml:space="preserve"> appartiene (o appartenente) all’insieme </w:t>
      </w:r>
      <w:r w:rsidR="002F2D34" w:rsidRPr="005003BF">
        <w:rPr>
          <w:rFonts w:ascii="Cambria Math" w:hAnsi="Cambria Math" w:cstheme="minorHAnsi"/>
          <w:i/>
          <w:color w:val="7030A0"/>
        </w:rPr>
        <w:t>A</w:t>
      </w:r>
      <w:r w:rsidR="002F2D34">
        <w:rPr>
          <w:rFonts w:cstheme="minorHAnsi"/>
        </w:rPr>
        <w:t>” o se preferiamo possiamo scrivere</w:t>
      </w:r>
    </w:p>
    <w:p w14:paraId="6120A426" w14:textId="77777777" w:rsidR="000C28FF" w:rsidRDefault="000C28FF" w:rsidP="009B114B">
      <w:pPr>
        <w:pStyle w:val="Paragrafoelenco"/>
        <w:spacing w:after="0"/>
        <w:jc w:val="both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  <w:color w:val="00B050"/>
          </w:rPr>
          <m:t>A</m:t>
        </m:r>
      </m:oMath>
      <w:r w:rsidRPr="008F59F7">
        <w:rPr>
          <w:rFonts w:eastAsiaTheme="minorEastAsia" w:cstheme="minorHAnsi"/>
          <w:color w:val="00B050"/>
        </w:rPr>
        <w:t xml:space="preserve"> </w:t>
      </w:r>
      <m:oMath>
        <m:r>
          <w:rPr>
            <w:rFonts w:ascii="Cambria Math" w:hAnsi="Cambria Math" w:cstheme="minorHAnsi"/>
            <w:color w:val="00B050"/>
          </w:rPr>
          <m:t>∋a</m:t>
        </m:r>
      </m:oMath>
      <w:r>
        <w:rPr>
          <w:rFonts w:ascii="Cambria Math" w:hAnsi="Cambria Math" w:cstheme="minorHAnsi"/>
          <w:i/>
        </w:rPr>
        <w:t xml:space="preserve"> </w:t>
      </w:r>
      <w:r>
        <w:rPr>
          <w:rFonts w:cstheme="minorHAnsi"/>
        </w:rPr>
        <w:t xml:space="preserve">e si legge </w:t>
      </w:r>
      <w:r>
        <w:rPr>
          <w:rFonts w:eastAsiaTheme="minorEastAsia" w:cstheme="minorHAnsi"/>
        </w:rPr>
        <w:t>“</w:t>
      </w:r>
      <m:oMath>
        <m:r>
          <w:rPr>
            <w:rFonts w:ascii="Cambria Math" w:hAnsi="Cambria Math" w:cstheme="minorHAnsi"/>
            <w:color w:val="7030A0"/>
          </w:rPr>
          <m:t xml:space="preserve">A </m:t>
        </m:r>
      </m:oMath>
      <w:r w:rsidRPr="005003BF">
        <w:rPr>
          <w:rFonts w:eastAsiaTheme="minorEastAsia" w:cstheme="minorHAnsi"/>
          <w:color w:val="7030A0"/>
        </w:rPr>
        <w:t xml:space="preserve">contiene l’elemento </w:t>
      </w:r>
      <m:oMath>
        <m:r>
          <w:rPr>
            <w:rFonts w:ascii="Cambria Math" w:hAnsi="Cambria Math" w:cstheme="minorHAnsi"/>
            <w:color w:val="7030A0"/>
          </w:rPr>
          <m:t>a</m:t>
        </m:r>
      </m:oMath>
      <w:r>
        <w:rPr>
          <w:rFonts w:eastAsiaTheme="minorEastAsia" w:cstheme="minorHAnsi"/>
        </w:rPr>
        <w:t>”;</w:t>
      </w:r>
    </w:p>
    <w:p w14:paraId="3C4639A5" w14:textId="77777777" w:rsidR="000C28FF" w:rsidRPr="008F59F7" w:rsidRDefault="000C28FF" w:rsidP="009B114B">
      <w:pPr>
        <w:pStyle w:val="Paragrafoelenco"/>
        <w:numPr>
          <w:ilvl w:val="0"/>
          <w:numId w:val="3"/>
        </w:numPr>
        <w:spacing w:after="0"/>
        <w:jc w:val="both"/>
        <w:rPr>
          <w:rFonts w:cstheme="minorHAnsi"/>
        </w:rPr>
      </w:pPr>
      <m:oMath>
        <m:r>
          <w:rPr>
            <w:rFonts w:ascii="Cambria Math" w:hAnsi="Cambria Math" w:cstheme="minorHAnsi"/>
            <w:color w:val="00B050"/>
          </w:rPr>
          <m:t>a∉A</m:t>
        </m:r>
      </m:oMath>
      <w:r w:rsidRPr="008F59F7">
        <w:rPr>
          <w:rFonts w:eastAsiaTheme="minorEastAsia" w:cstheme="minorHAnsi"/>
          <w:color w:val="00B050"/>
        </w:rPr>
        <w:t xml:space="preserve"> </w:t>
      </w:r>
      <w:r>
        <w:rPr>
          <w:rFonts w:eastAsiaTheme="minorEastAsia" w:cstheme="minorHAnsi"/>
        </w:rPr>
        <w:t>si legge “</w:t>
      </w:r>
      <m:oMath>
        <m:r>
          <w:rPr>
            <w:rFonts w:ascii="Cambria Math" w:hAnsi="Cambria Math" w:cstheme="minorHAnsi"/>
            <w:color w:val="7030A0"/>
          </w:rPr>
          <m:t>a</m:t>
        </m:r>
      </m:oMath>
      <w:r w:rsidRPr="005003BF">
        <w:rPr>
          <w:rFonts w:eastAsiaTheme="minorEastAsia" w:cstheme="minorHAnsi"/>
          <w:color w:val="7030A0"/>
        </w:rPr>
        <w:t xml:space="preserve"> non appartiene (o non appartenente) all’insieme </w:t>
      </w:r>
      <w:r w:rsidRPr="005003BF">
        <w:rPr>
          <w:rFonts w:ascii="Cambria Math" w:hAnsi="Cambria Math" w:cstheme="minorHAnsi"/>
          <w:i/>
          <w:color w:val="7030A0"/>
        </w:rPr>
        <w:t>A</w:t>
      </w:r>
      <w:r>
        <w:rPr>
          <w:rFonts w:cstheme="minorHAnsi"/>
        </w:rPr>
        <w:t xml:space="preserve">” o se preferiamo possiamo scrivere </w:t>
      </w:r>
      <m:oMath>
        <m:r>
          <w:rPr>
            <w:rFonts w:ascii="Cambria Math" w:hAnsi="Cambria Math" w:cstheme="minorHAnsi"/>
            <w:color w:val="00B050"/>
          </w:rPr>
          <m:t>A</m:t>
        </m:r>
      </m:oMath>
      <w:r w:rsidRPr="008F59F7">
        <w:rPr>
          <w:rFonts w:eastAsiaTheme="minorEastAsia" w:cstheme="minorHAnsi"/>
          <w:color w:val="00B050"/>
        </w:rPr>
        <w:t xml:space="preserve"> </w:t>
      </w:r>
      <m:oMath>
        <m:r>
          <w:rPr>
            <w:rFonts w:ascii="Cambria Math" w:hAnsi="Cambria Math" w:cstheme="minorHAnsi"/>
            <w:color w:val="00B050"/>
          </w:rPr>
          <m:t>∌a</m:t>
        </m:r>
      </m:oMath>
      <w:r w:rsidRPr="008F59F7">
        <w:rPr>
          <w:rFonts w:ascii="Cambria Math" w:hAnsi="Cambria Math" w:cstheme="minorHAnsi"/>
          <w:i/>
          <w:color w:val="00B050"/>
        </w:rPr>
        <w:t xml:space="preserve"> </w:t>
      </w:r>
      <w:r w:rsidRPr="000C28FF">
        <w:rPr>
          <w:rFonts w:cstheme="minorHAnsi"/>
        </w:rPr>
        <w:t xml:space="preserve">e si legge </w:t>
      </w:r>
      <w:r w:rsidRPr="000C28FF">
        <w:rPr>
          <w:rFonts w:eastAsiaTheme="minorEastAsia" w:cstheme="minorHAnsi"/>
        </w:rPr>
        <w:t>“</w:t>
      </w:r>
      <m:oMath>
        <m:r>
          <w:rPr>
            <w:rFonts w:ascii="Cambria Math" w:hAnsi="Cambria Math" w:cstheme="minorHAnsi"/>
            <w:color w:val="7030A0"/>
          </w:rPr>
          <m:t xml:space="preserve">A </m:t>
        </m:r>
      </m:oMath>
      <w:r w:rsidRPr="005003BF">
        <w:rPr>
          <w:rFonts w:eastAsiaTheme="minorEastAsia" w:cstheme="minorHAnsi"/>
          <w:color w:val="7030A0"/>
        </w:rPr>
        <w:t xml:space="preserve">non contiene l’elemento </w:t>
      </w:r>
      <m:oMath>
        <m:r>
          <w:rPr>
            <w:rFonts w:ascii="Cambria Math" w:hAnsi="Cambria Math" w:cstheme="minorHAnsi"/>
            <w:color w:val="7030A0"/>
          </w:rPr>
          <m:t>a</m:t>
        </m:r>
      </m:oMath>
      <w:r w:rsidRPr="000C28FF">
        <w:rPr>
          <w:rFonts w:eastAsiaTheme="minorEastAsia" w:cstheme="minorHAnsi"/>
        </w:rPr>
        <w:t>”</w:t>
      </w:r>
      <w:r w:rsidR="000215C7">
        <w:rPr>
          <w:rFonts w:eastAsiaTheme="minorEastAsia" w:cstheme="minorHAnsi"/>
        </w:rPr>
        <w:t>.</w:t>
      </w:r>
    </w:p>
    <w:p w14:paraId="6D1E41BC" w14:textId="77777777" w:rsidR="008F59F7" w:rsidRDefault="008F59F7" w:rsidP="003B1535">
      <w:pPr>
        <w:spacing w:after="0"/>
        <w:jc w:val="both"/>
        <w:rPr>
          <w:rFonts w:eastAsiaTheme="minorEastAsia" w:cstheme="minorHAnsi"/>
        </w:rPr>
      </w:pPr>
      <w:r>
        <w:rPr>
          <w:rFonts w:cstheme="minorHAnsi"/>
        </w:rPr>
        <w:t>Facendo riferimento all’esempio precedente riguardante la postazione da PC, potremmo pensare di chiamare</w:t>
      </w:r>
      <w:r w:rsidR="003B1535">
        <w:rPr>
          <w:rFonts w:cstheme="minorHAnsi"/>
        </w:rPr>
        <w:t xml:space="preserve"> tale insieme </w:t>
      </w:r>
      <m:oMath>
        <m:r>
          <w:rPr>
            <w:rFonts w:ascii="Cambria Math" w:hAnsi="Cambria Math" w:cstheme="minorHAnsi"/>
          </w:rPr>
          <m:t>T</m:t>
        </m:r>
      </m:oMath>
      <w:r>
        <w:rPr>
          <w:rFonts w:cstheme="minorHAnsi"/>
        </w:rPr>
        <w:t xml:space="preserve"> </w:t>
      </w:r>
      <w:r w:rsidR="003B1535">
        <w:rPr>
          <w:rFonts w:cstheme="minorHAnsi"/>
        </w:rPr>
        <w:t xml:space="preserve">e poter quindi scrivere che </w:t>
      </w:r>
      <m:oMath>
        <m:r>
          <w:rPr>
            <w:rFonts w:ascii="Cambria Math" w:hAnsi="Cambria Math" w:cstheme="minorHAnsi"/>
          </w:rPr>
          <m:t>monitor∈T</m:t>
        </m:r>
      </m:oMath>
      <w:r w:rsidR="003B1535">
        <w:rPr>
          <w:rFonts w:eastAsiaTheme="minorEastAsia" w:cstheme="minorHAnsi"/>
        </w:rPr>
        <w:t xml:space="preserve"> o anche </w:t>
      </w:r>
      <m:oMath>
        <m:r>
          <w:rPr>
            <w:rFonts w:ascii="Cambria Math" w:eastAsiaTheme="minorEastAsia" w:hAnsi="Cambria Math" w:cstheme="minorHAnsi"/>
          </w:rPr>
          <m:t>T∋monitor</m:t>
        </m:r>
      </m:oMath>
      <w:r w:rsidR="003B1535">
        <w:rPr>
          <w:rFonts w:eastAsiaTheme="minorEastAsia" w:cstheme="minorHAnsi"/>
        </w:rPr>
        <w:t xml:space="preserve">; è anche lecito poter scrivere che </w:t>
      </w:r>
      <m:oMath>
        <m:r>
          <w:rPr>
            <w:rFonts w:ascii="Cambria Math" w:eastAsiaTheme="minorEastAsia" w:hAnsi="Cambria Math" w:cstheme="minorHAnsi"/>
          </w:rPr>
          <m:t>monitor∉H</m:t>
        </m:r>
      </m:oMath>
      <w:r w:rsidR="003B1535">
        <w:rPr>
          <w:rFonts w:eastAsiaTheme="minorEastAsia" w:cstheme="minorHAnsi"/>
        </w:rPr>
        <w:t xml:space="preserve"> e </w:t>
      </w:r>
      <m:oMath>
        <m:r>
          <w:rPr>
            <w:rFonts w:ascii="Cambria Math" w:eastAsiaTheme="minorEastAsia" w:hAnsi="Cambria Math" w:cstheme="minorHAnsi"/>
          </w:rPr>
          <m:t>H∌monitor</m:t>
        </m:r>
      </m:oMath>
      <w:r w:rsidR="003B1535">
        <w:rPr>
          <w:rFonts w:eastAsiaTheme="minorEastAsia" w:cstheme="minorHAnsi"/>
        </w:rPr>
        <w:t xml:space="preserve"> dove </w:t>
      </w:r>
      <m:oMath>
        <m:r>
          <w:rPr>
            <w:rFonts w:ascii="Cambria Math" w:eastAsiaTheme="minorEastAsia" w:hAnsi="Cambria Math" w:cstheme="minorHAnsi"/>
          </w:rPr>
          <m:t>H</m:t>
        </m:r>
      </m:oMath>
      <w:r w:rsidR="003B1535">
        <w:rPr>
          <w:rFonts w:eastAsiaTheme="minorEastAsia" w:cstheme="minorHAnsi"/>
        </w:rPr>
        <w:t xml:space="preserve"> è un insieme generico al di fuori di </w:t>
      </w:r>
      <m:oMath>
        <m:r>
          <w:rPr>
            <w:rFonts w:ascii="Cambria Math" w:hAnsi="Cambria Math" w:cstheme="minorHAnsi"/>
          </w:rPr>
          <m:t>T</m:t>
        </m:r>
      </m:oMath>
      <w:r w:rsidR="003B1535">
        <w:rPr>
          <w:rFonts w:eastAsiaTheme="minorEastAsia" w:cstheme="minorHAnsi"/>
        </w:rPr>
        <w:t xml:space="preserve"> (il ragionamento equivale per gli altri elementi dell’insieme).</w:t>
      </w:r>
    </w:p>
    <w:p w14:paraId="3CCCBE7C" w14:textId="77777777" w:rsidR="005003BF" w:rsidRDefault="005003BF" w:rsidP="003B1535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Qualcuno di voi però verrebbe naturale chiedersi da quanti elementi possa essere composto un determinato insieme ed è per questo che occorre fare la seguente distinzione. Si parla di:</w:t>
      </w:r>
    </w:p>
    <w:p w14:paraId="15B47830" w14:textId="77777777" w:rsidR="005003BF" w:rsidRPr="005303BA" w:rsidRDefault="005003BF" w:rsidP="005003BF">
      <w:pPr>
        <w:pStyle w:val="Paragrafoelenco"/>
        <w:numPr>
          <w:ilvl w:val="0"/>
          <w:numId w:val="4"/>
        </w:numPr>
        <w:spacing w:after="0"/>
        <w:jc w:val="both"/>
        <w:rPr>
          <w:rFonts w:eastAsiaTheme="minorEastAsia" w:cstheme="minorHAnsi"/>
          <w:b/>
          <w:color w:val="FF0000"/>
        </w:rPr>
      </w:pPr>
      <w:r w:rsidRPr="005003BF">
        <w:rPr>
          <w:rFonts w:eastAsiaTheme="minorEastAsia" w:cstheme="minorHAnsi"/>
          <w:b/>
          <w:color w:val="FF0000"/>
        </w:rPr>
        <w:t xml:space="preserve">INSIEME FINITO </w:t>
      </w:r>
      <w:r>
        <w:rPr>
          <w:rFonts w:eastAsiaTheme="minorEastAsia" w:cstheme="minorHAnsi"/>
          <w:color w:val="000000" w:themeColor="text1"/>
        </w:rPr>
        <w:t>quando facciamo riferimento ad insiemi con elementi finiti quindi composti da uno, due, tre, quattro elementi e via discorrendo;</w:t>
      </w:r>
    </w:p>
    <w:p w14:paraId="47737472" w14:textId="77777777" w:rsidR="005303BA" w:rsidRPr="005303BA" w:rsidRDefault="005303BA" w:rsidP="005003BF">
      <w:pPr>
        <w:pStyle w:val="Paragrafoelenco"/>
        <w:numPr>
          <w:ilvl w:val="0"/>
          <w:numId w:val="4"/>
        </w:numPr>
        <w:spacing w:after="0"/>
        <w:jc w:val="both"/>
        <w:rPr>
          <w:rFonts w:eastAsiaTheme="minorEastAsia" w:cstheme="minorHAnsi"/>
          <w:b/>
          <w:color w:val="FF0000"/>
        </w:rPr>
      </w:pPr>
      <w:r>
        <w:rPr>
          <w:rFonts w:eastAsiaTheme="minorEastAsia" w:cstheme="minorHAnsi"/>
          <w:b/>
          <w:color w:val="FF0000"/>
        </w:rPr>
        <w:t xml:space="preserve">INSIEME INFINITO </w:t>
      </w:r>
      <w:r w:rsidRPr="005303BA">
        <w:rPr>
          <w:rFonts w:eastAsiaTheme="minorEastAsia" w:cstheme="minorHAnsi"/>
          <w:color w:val="000000" w:themeColor="text1"/>
        </w:rPr>
        <w:t>quando facciamo riferimento ad insiemi con elementi infiniti quindi che non si esauriscono mai</w:t>
      </w:r>
      <w:r>
        <w:rPr>
          <w:rFonts w:eastAsiaTheme="minorEastAsia" w:cstheme="minorHAnsi"/>
          <w:color w:val="000000" w:themeColor="text1"/>
        </w:rPr>
        <w:t>.</w:t>
      </w:r>
    </w:p>
    <w:p w14:paraId="33471D4B" w14:textId="77777777" w:rsidR="003B1535" w:rsidRDefault="005303BA" w:rsidP="003B1535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  <w:color w:val="000000" w:themeColor="text1"/>
        </w:rPr>
        <w:t xml:space="preserve">L’insieme dei numeri pari precedentemente descritto è un insieme infinito dal momento che i numeri, come sappiamo, non hanno mai una fine mentre l’insieme </w:t>
      </w:r>
      <m:oMath>
        <m:r>
          <w:rPr>
            <w:rFonts w:ascii="Cambria Math" w:hAnsi="Cambria Math" w:cstheme="minorHAnsi"/>
          </w:rPr>
          <m:t>T</m:t>
        </m:r>
      </m:oMath>
      <w:r w:rsidR="00E41902">
        <w:rPr>
          <w:rFonts w:eastAsiaTheme="minorEastAsia" w:cstheme="minorHAnsi"/>
        </w:rPr>
        <w:t xml:space="preserve"> (postazione PC) </w:t>
      </w:r>
      <w:r>
        <w:rPr>
          <w:rFonts w:eastAsiaTheme="minorEastAsia" w:cstheme="minorHAnsi"/>
        </w:rPr>
        <w:t>è un insieme finito.</w:t>
      </w:r>
    </w:p>
    <w:p w14:paraId="41D7A572" w14:textId="3232068A" w:rsidR="00AF2ACE" w:rsidRDefault="00344C5C" w:rsidP="003B1535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Esistono due metodi</w:t>
      </w:r>
      <w:r w:rsidR="00C81D3D">
        <w:rPr>
          <w:rFonts w:eastAsiaTheme="minorEastAsia" w:cstheme="minorHAnsi"/>
        </w:rPr>
        <w:t xml:space="preserve"> per rappresentare un insieme: il primo </w:t>
      </w:r>
      <w:r>
        <w:rPr>
          <w:rFonts w:eastAsiaTheme="minorEastAsia" w:cstheme="minorHAnsi"/>
        </w:rPr>
        <w:t xml:space="preserve">è la </w:t>
      </w:r>
      <w:r w:rsidRPr="00344C5C">
        <w:rPr>
          <w:rFonts w:eastAsiaTheme="minorEastAsia" w:cstheme="minorHAnsi"/>
          <w:i/>
          <w:u w:val="single"/>
        </w:rPr>
        <w:t>rappresentazione per elencazione o estensiva</w:t>
      </w:r>
      <w:r>
        <w:rPr>
          <w:rFonts w:eastAsiaTheme="minorEastAsia" w:cstheme="minorHAnsi"/>
        </w:rPr>
        <w:t xml:space="preserve"> che consiste nello scrivere tutti gli elementi dell’insieme separati da una virgola e racchiusi tra parentesi graffe andando quindi a fare una sorta di </w:t>
      </w:r>
      <w:r>
        <w:rPr>
          <w:rFonts w:eastAsiaTheme="minorEastAsia" w:cstheme="minorHAnsi"/>
          <w:i/>
        </w:rPr>
        <w:t>elenco degli elementi</w:t>
      </w:r>
      <w:r w:rsidR="00C81D3D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denominiamo l’insieme dei numeri pari </w:t>
      </w:r>
      <m:oMath>
        <m:r>
          <w:rPr>
            <w:rFonts w:ascii="Cambria Math" w:eastAsiaTheme="minorEastAsia" w:hAnsi="Cambria Math" w:cstheme="minorHAnsi"/>
          </w:rPr>
          <m:t>P</m:t>
        </m:r>
      </m:oMath>
      <w:r>
        <w:rPr>
          <w:rFonts w:eastAsiaTheme="minorEastAsia" w:cstheme="minorHAnsi"/>
        </w:rPr>
        <w:t xml:space="preserve"> e scriveremo che</w:t>
      </w:r>
    </w:p>
    <w:p w14:paraId="4A3BA4F5" w14:textId="1D0DB6FF" w:rsidR="00344C5C" w:rsidRDefault="00344C5C" w:rsidP="00AF2ACE">
      <w:pPr>
        <w:spacing w:after="0"/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P={2, 4, 6, 8, …}</m:t>
          </m:r>
        </m:oMath>
      </m:oMathPara>
    </w:p>
    <w:p w14:paraId="05779326" w14:textId="77777777" w:rsidR="00AF2ACE" w:rsidRPr="00AF2ACE" w:rsidRDefault="00AF2ACE" w:rsidP="00344C5C">
      <w:pPr>
        <w:spacing w:after="0"/>
        <w:jc w:val="both"/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oppure</m:t>
          </m:r>
          <m:r>
            <m:rPr>
              <m:sty m:val="p"/>
            </m:rPr>
            <w:rPr>
              <w:rFonts w:ascii="Cambria Math" w:eastAsiaTheme="minorEastAsia" w:cstheme="minorHAnsi"/>
            </w:rPr>
            <m:t xml:space="preserve"> </m:t>
          </m:r>
        </m:oMath>
      </m:oMathPara>
    </w:p>
    <w:p w14:paraId="6BFF8E63" w14:textId="2C35F938" w:rsidR="00AF2ACE" w:rsidRDefault="00344C5C" w:rsidP="00AF2ACE">
      <w:pPr>
        <w:spacing w:after="0"/>
        <w:jc w:val="center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T={tastiera, mouse, monitor, stampante, gruppo di continuità, cabinet}</m:t>
        </m:r>
      </m:oMath>
      <w:r>
        <w:rPr>
          <w:rFonts w:eastAsiaTheme="minorEastAsia" w:cstheme="minorHAnsi"/>
        </w:rPr>
        <w:t>;</w:t>
      </w:r>
    </w:p>
    <w:p w14:paraId="37004C64" w14:textId="77777777" w:rsidR="00A16278" w:rsidRDefault="00344C5C" w:rsidP="00344C5C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il secondo metodo viene chiamato </w:t>
      </w:r>
      <w:r w:rsidRPr="00344C5C">
        <w:rPr>
          <w:rFonts w:eastAsiaTheme="minorEastAsia" w:cstheme="minorHAnsi"/>
          <w:i/>
          <w:u w:val="single"/>
        </w:rPr>
        <w:t xml:space="preserve">rappresentazione </w:t>
      </w:r>
      <w:r w:rsidR="00C81D3D">
        <w:rPr>
          <w:rFonts w:eastAsiaTheme="minorEastAsia" w:cstheme="minorHAnsi"/>
          <w:i/>
          <w:u w:val="single"/>
        </w:rPr>
        <w:t>caratteristica o int</w:t>
      </w:r>
      <w:r w:rsidRPr="00344C5C">
        <w:rPr>
          <w:rFonts w:eastAsiaTheme="minorEastAsia" w:cstheme="minorHAnsi"/>
          <w:i/>
          <w:u w:val="single"/>
        </w:rPr>
        <w:t>ensiva</w:t>
      </w:r>
      <w:r w:rsidR="00C81D3D">
        <w:rPr>
          <w:rFonts w:eastAsiaTheme="minorEastAsia" w:cstheme="minorHAnsi"/>
          <w:i/>
          <w:u w:val="single"/>
        </w:rPr>
        <w:t xml:space="preserve"> </w:t>
      </w:r>
      <w:r w:rsidR="00C81D3D">
        <w:rPr>
          <w:rFonts w:eastAsiaTheme="minorEastAsia" w:cstheme="minorHAnsi"/>
        </w:rPr>
        <w:t xml:space="preserve">che consiste nel dover individuare la caratteristica comune di tutti gli elementi dell’insieme e scrivere che </w:t>
      </w:r>
    </w:p>
    <w:p w14:paraId="264C2098" w14:textId="77777777" w:rsidR="00A16278" w:rsidRDefault="00344C5C" w:rsidP="00A16278">
      <w:pPr>
        <w:spacing w:after="0"/>
        <w:jc w:val="center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P=</m:t>
        </m:r>
        <m:d>
          <m:dPr>
            <m:begChr m:val="{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n </m:t>
            </m:r>
          </m:e>
        </m:d>
        <m:r>
          <w:rPr>
            <w:rFonts w:ascii="Cambria Math" w:eastAsiaTheme="minorEastAsia" w:hAnsi="Cambria Math" w:cstheme="minorHAnsi"/>
          </w:rPr>
          <m:t xml:space="preserve"> n è un numero pari}</m:t>
        </m:r>
      </m:oMath>
      <w:r w:rsidR="00C81D3D">
        <w:rPr>
          <w:rFonts w:eastAsiaTheme="minorEastAsia" w:cstheme="minorHAnsi"/>
        </w:rPr>
        <w:t xml:space="preserve"> </w:t>
      </w:r>
    </w:p>
    <w:p w14:paraId="62D37615" w14:textId="77777777" w:rsidR="00A16278" w:rsidRDefault="00C81D3D" w:rsidP="00A16278">
      <w:pPr>
        <w:spacing w:after="0"/>
        <w:jc w:val="center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oppure </w:t>
      </w:r>
    </w:p>
    <w:p w14:paraId="10F96A3E" w14:textId="77777777" w:rsidR="00A16278" w:rsidRDefault="00344C5C" w:rsidP="00A16278">
      <w:pPr>
        <w:spacing w:after="0"/>
        <w:jc w:val="center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T=</m:t>
        </m:r>
        <m:d>
          <m:dPr>
            <m:begChr m:val="{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ogg </m:t>
            </m:r>
          </m:e>
        </m:d>
        <m:r>
          <w:rPr>
            <w:rFonts w:ascii="Cambria Math" w:eastAsiaTheme="minorEastAsia" w:hAnsi="Cambria Math" w:cstheme="minorHAnsi"/>
          </w:rPr>
          <m:t xml:space="preserve"> ogg elemento facente parte della postazione da PC}</m:t>
        </m:r>
      </m:oMath>
      <w:r w:rsidR="00C81D3D">
        <w:rPr>
          <w:rFonts w:eastAsiaTheme="minorEastAsia" w:cstheme="minorHAnsi"/>
        </w:rPr>
        <w:t xml:space="preserve"> </w:t>
      </w:r>
    </w:p>
    <w:p w14:paraId="6D341541" w14:textId="67BA2AD3" w:rsidR="00344C5C" w:rsidRDefault="00C81D3D" w:rsidP="00A16278">
      <w:pPr>
        <w:spacing w:after="0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</w:rPr>
        <w:t>dove il simbolo “|” si legge “tale che” e può essere anche sostituito dai due puntini “:”.</w:t>
      </w:r>
      <w:r w:rsidR="00F2627F">
        <w:rPr>
          <w:rFonts w:eastAsiaTheme="minorEastAsia" w:cstheme="minorHAnsi"/>
        </w:rPr>
        <w:t xml:space="preserve"> La rappresentazione intensiva</w:t>
      </w:r>
      <w:r w:rsidR="00414056">
        <w:rPr>
          <w:rFonts w:eastAsiaTheme="minorEastAsia" w:cstheme="minorHAnsi"/>
        </w:rPr>
        <w:t xml:space="preserve"> viene generalmente usata quando sono presenti un gran numero di elementi in un particolare insieme il che renderebbe ovviamente molto scomodo e noioso scriverli in forma estensiva e pertanto sarà più conveniente usare la forma intensiva di rappresentazione.</w:t>
      </w:r>
      <w:r w:rsidR="00AF2ACE">
        <w:rPr>
          <w:rFonts w:eastAsiaTheme="minorEastAsia" w:cstheme="minorHAnsi"/>
        </w:rPr>
        <w:t xml:space="preserve"> </w:t>
      </w:r>
      <w:r w:rsidR="00A16278">
        <w:rPr>
          <w:rFonts w:eastAsiaTheme="minorEastAsia" w:cstheme="minorHAnsi"/>
        </w:rPr>
        <w:t xml:space="preserve">Prendendo in considerazione un insieme finito definiamo </w:t>
      </w:r>
      <w:r w:rsidR="00A16278" w:rsidRPr="00A16278">
        <w:rPr>
          <w:rFonts w:eastAsiaTheme="minorEastAsia" w:cstheme="minorHAnsi"/>
          <w:color w:val="FF0000"/>
        </w:rPr>
        <w:t>cardinalità (potenza o anche ordine)</w:t>
      </w:r>
      <w:r w:rsidR="00A16278">
        <w:rPr>
          <w:rFonts w:eastAsiaTheme="minorEastAsia" w:cstheme="minorHAnsi"/>
          <w:color w:val="FF0000"/>
        </w:rPr>
        <w:t xml:space="preserve"> </w:t>
      </w:r>
      <w:r w:rsidR="00A16278">
        <w:rPr>
          <w:rFonts w:eastAsiaTheme="minorEastAsia" w:cstheme="minorHAnsi"/>
          <w:color w:val="000000" w:themeColor="text1"/>
        </w:rPr>
        <w:t>il numero di elementi da cui è composto quell’insieme e per rappresentarla si usano i seguenti simboli</w:t>
      </w:r>
    </w:p>
    <w:p w14:paraId="6C09C91A" w14:textId="198302D9" w:rsidR="00A16278" w:rsidRPr="009378EC" w:rsidRDefault="00A16278" w:rsidP="00A16278">
      <w:pPr>
        <w:spacing w:after="0"/>
        <w:jc w:val="center"/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#A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 xml:space="preserve">     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card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 xml:space="preserve">     |A|</m:t>
          </m:r>
        </m:oMath>
      </m:oMathPara>
    </w:p>
    <w:p w14:paraId="521110F4" w14:textId="4134B99F" w:rsidR="009378EC" w:rsidRDefault="009378EC" w:rsidP="009378EC">
      <w:pPr>
        <w:spacing w:after="0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(dove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A</m:t>
        </m:r>
      </m:oMath>
      <w:r>
        <w:rPr>
          <w:rFonts w:eastAsiaTheme="minorEastAsia" w:cstheme="minorHAnsi"/>
          <w:color w:val="000000" w:themeColor="text1"/>
        </w:rPr>
        <w:t xml:space="preserve"> è un insieme), anche se molto spesso viene usata la terza notazione: se per esempio consideriamo l’insieme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B</m:t>
        </m:r>
      </m:oMath>
      <w:r>
        <w:rPr>
          <w:rFonts w:eastAsiaTheme="minorEastAsia" w:cstheme="minorHAnsi"/>
          <w:color w:val="000000" w:themeColor="text1"/>
        </w:rPr>
        <w:t xml:space="preserve"> dei numeri compresi fra 50 e 70 possiamo scrivere, usando la notazione intensiva, che</w:t>
      </w:r>
    </w:p>
    <w:p w14:paraId="1EC1E3E0" w14:textId="045DBC06" w:rsidR="009378EC" w:rsidRDefault="009378EC" w:rsidP="009378EC">
      <w:pPr>
        <w:spacing w:after="0"/>
        <w:jc w:val="both"/>
        <w:rPr>
          <w:rFonts w:eastAsiaTheme="minorEastAsia" w:cstheme="minorHAnsi"/>
          <w:color w:val="000000" w:themeColor="text1"/>
        </w:rPr>
      </w:pPr>
      <m:oMath>
        <m:r>
          <w:rPr>
            <w:rFonts w:ascii="Cambria Math" w:eastAsiaTheme="minorEastAsia" w:hAnsi="Cambria Math" w:cstheme="minorHAnsi"/>
            <w:color w:val="000000" w:themeColor="text1"/>
          </w:rPr>
          <m:t>B=</m:t>
        </m:r>
        <m:d>
          <m:dPr>
            <m:begChr m:val="{"/>
            <m:endChr m:val="|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 xml:space="preserve">n 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 xml:space="preserve"> 50≤n≤70} con |B|=1</m:t>
        </m:r>
        <m:r>
          <w:rPr>
            <w:rFonts w:ascii="Cambria Math" w:eastAsiaTheme="minorEastAsia" w:hAnsi="Cambria Math" w:cstheme="minorHAnsi"/>
            <w:color w:val="000000" w:themeColor="text1"/>
          </w:rPr>
          <m:t>0</m:t>
        </m:r>
      </m:oMath>
      <w:r>
        <w:rPr>
          <w:rFonts w:eastAsiaTheme="minorEastAsia" w:cstheme="minorHAnsi"/>
          <w:color w:val="000000" w:themeColor="text1"/>
        </w:rPr>
        <w:t xml:space="preserve"> (abbiamo tralasciato i numeri con la virgola per semplicità).</w:t>
      </w:r>
    </w:p>
    <w:p w14:paraId="1B02E98E" w14:textId="33A56F75" w:rsidR="009378EC" w:rsidRDefault="009378EC" w:rsidP="009378EC">
      <w:pPr>
        <w:spacing w:after="0"/>
        <w:jc w:val="bot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Se avessimo fatto riferimento all’insieme dei numeri pari avremmo scritto che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P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=∞</m:t>
        </m:r>
      </m:oMath>
      <w:r>
        <w:rPr>
          <w:rFonts w:eastAsiaTheme="minorEastAsia" w:cstheme="minorHAnsi"/>
          <w:color w:val="000000" w:themeColor="text1"/>
        </w:rPr>
        <w:t>.</w:t>
      </w:r>
    </w:p>
    <w:p w14:paraId="6CB1AFF2" w14:textId="77777777" w:rsidR="009378EC" w:rsidRPr="009378EC" w:rsidRDefault="009378EC" w:rsidP="009378EC">
      <w:pPr>
        <w:spacing w:after="0"/>
        <w:jc w:val="both"/>
        <w:rPr>
          <w:rFonts w:eastAsiaTheme="minorEastAsia" w:cstheme="minorHAnsi"/>
          <w:color w:val="000000" w:themeColor="text1"/>
        </w:rPr>
      </w:pPr>
    </w:p>
    <w:p w14:paraId="1DEA6FBC" w14:textId="77777777" w:rsidR="009378EC" w:rsidRPr="009378EC" w:rsidRDefault="009378EC" w:rsidP="009378EC">
      <w:pPr>
        <w:spacing w:after="0"/>
        <w:jc w:val="both"/>
        <w:rPr>
          <w:rFonts w:eastAsiaTheme="minorEastAsia" w:cstheme="minorHAnsi"/>
          <w:color w:val="000000" w:themeColor="text1"/>
        </w:rPr>
      </w:pPr>
    </w:p>
    <w:p w14:paraId="02205F0B" w14:textId="77777777" w:rsidR="008F59F7" w:rsidRPr="008F59F7" w:rsidRDefault="003B1535" w:rsidP="008F59F7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2EEAE95C" w14:textId="77777777" w:rsidR="008F59F7" w:rsidRPr="008F59F7" w:rsidRDefault="008F59F7" w:rsidP="008F59F7">
      <w:pPr>
        <w:spacing w:after="0"/>
        <w:jc w:val="both"/>
        <w:rPr>
          <w:rFonts w:cstheme="minorHAnsi"/>
        </w:rPr>
      </w:pPr>
    </w:p>
    <w:p w14:paraId="05074964" w14:textId="77777777" w:rsidR="000C28FF" w:rsidRPr="000C28FF" w:rsidRDefault="000C28FF" w:rsidP="009B114B">
      <w:pPr>
        <w:spacing w:after="0"/>
        <w:jc w:val="both"/>
        <w:rPr>
          <w:rFonts w:eastAsiaTheme="minorEastAsia" w:cstheme="minorHAnsi"/>
        </w:rPr>
      </w:pPr>
    </w:p>
    <w:sectPr w:rsidR="000C28FF" w:rsidRPr="000C28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7399"/>
    <w:multiLevelType w:val="hybridMultilevel"/>
    <w:tmpl w:val="0BDA13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15669"/>
    <w:multiLevelType w:val="hybridMultilevel"/>
    <w:tmpl w:val="80CCB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972B5"/>
    <w:multiLevelType w:val="hybridMultilevel"/>
    <w:tmpl w:val="D41489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2047D"/>
    <w:multiLevelType w:val="hybridMultilevel"/>
    <w:tmpl w:val="D1F2DF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795610">
    <w:abstractNumId w:val="0"/>
  </w:num>
  <w:num w:numId="2" w16cid:durableId="1087504862">
    <w:abstractNumId w:val="3"/>
  </w:num>
  <w:num w:numId="3" w16cid:durableId="1738745615">
    <w:abstractNumId w:val="1"/>
  </w:num>
  <w:num w:numId="4" w16cid:durableId="1698189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26F"/>
    <w:rsid w:val="000215C7"/>
    <w:rsid w:val="000C28FF"/>
    <w:rsid w:val="00115441"/>
    <w:rsid w:val="001B426F"/>
    <w:rsid w:val="002F2D34"/>
    <w:rsid w:val="00344C5C"/>
    <w:rsid w:val="003B1535"/>
    <w:rsid w:val="00414056"/>
    <w:rsid w:val="00476DA0"/>
    <w:rsid w:val="005003BF"/>
    <w:rsid w:val="005303BA"/>
    <w:rsid w:val="0057359B"/>
    <w:rsid w:val="007F6F93"/>
    <w:rsid w:val="008C1C8E"/>
    <w:rsid w:val="008F59F7"/>
    <w:rsid w:val="009378EC"/>
    <w:rsid w:val="009B114B"/>
    <w:rsid w:val="00A16278"/>
    <w:rsid w:val="00AF2ACE"/>
    <w:rsid w:val="00BE24A9"/>
    <w:rsid w:val="00BE2932"/>
    <w:rsid w:val="00C81D3D"/>
    <w:rsid w:val="00CE2B7F"/>
    <w:rsid w:val="00E41902"/>
    <w:rsid w:val="00E8184F"/>
    <w:rsid w:val="00EE3158"/>
    <w:rsid w:val="00F2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3592A"/>
  <w15:chartTrackingRefBased/>
  <w15:docId w15:val="{6E51595B-1931-409A-8263-8A6F1B9A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8184F"/>
    <w:pPr>
      <w:ind w:left="720"/>
      <w:contextualSpacing/>
    </w:p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E293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E2932"/>
    <w:rPr>
      <w:i/>
      <w:iCs/>
      <w:color w:val="5B9BD5" w:themeColor="accent1"/>
    </w:rPr>
  </w:style>
  <w:style w:type="character" w:styleId="Testosegnaposto">
    <w:name w:val="Placeholder Text"/>
    <w:basedOn w:val="Carpredefinitoparagrafo"/>
    <w:uiPriority w:val="99"/>
    <w:semiHidden/>
    <w:rsid w:val="007F6F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Matteo Santantonio</cp:lastModifiedBy>
  <cp:revision>7</cp:revision>
  <dcterms:created xsi:type="dcterms:W3CDTF">2022-11-11T14:04:00Z</dcterms:created>
  <dcterms:modified xsi:type="dcterms:W3CDTF">2022-11-13T10:00:00Z</dcterms:modified>
</cp:coreProperties>
</file>